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82" w:rsidRDefault="00F64DC3">
      <w:pPr>
        <w:autoSpaceDE w:val="0"/>
        <w:jc w:val="center"/>
        <w:rPr>
          <w:sz w:val="24"/>
          <w:szCs w:val="24"/>
          <w:lang w:val="en-GB"/>
        </w:rPr>
      </w:pPr>
      <w:r w:rsidRPr="00F64DC3">
        <w:rPr>
          <w:b/>
          <w:caps/>
          <w:sz w:val="24"/>
          <w:szCs w:val="24"/>
          <w:lang w:val="el-GR"/>
        </w:rPr>
        <w:t>Dating Shellmounds from Florianópolis Island, Santa Catarina State, Brazil</w:t>
      </w:r>
    </w:p>
    <w:p w:rsidR="00B87382" w:rsidRDefault="00B87382">
      <w:pPr>
        <w:autoSpaceDE w:val="0"/>
        <w:jc w:val="center"/>
        <w:rPr>
          <w:sz w:val="24"/>
          <w:szCs w:val="24"/>
          <w:lang w:val="en-GB"/>
        </w:rPr>
      </w:pPr>
    </w:p>
    <w:p w:rsidR="00B87382" w:rsidRDefault="00B87382">
      <w:pPr>
        <w:autoSpaceDE w:val="0"/>
        <w:jc w:val="center"/>
        <w:rPr>
          <w:sz w:val="24"/>
          <w:szCs w:val="24"/>
          <w:lang w:val="en-GB"/>
        </w:rPr>
      </w:pPr>
    </w:p>
    <w:p w:rsidR="00B87382" w:rsidRPr="00F64DC3" w:rsidRDefault="00F64DC3">
      <w:pPr>
        <w:autoSpaceDE w:val="0"/>
        <w:jc w:val="center"/>
        <w:rPr>
          <w:sz w:val="20"/>
          <w:lang w:val="pt-BR"/>
        </w:rPr>
      </w:pPr>
      <w:r w:rsidRPr="00F64DC3">
        <w:rPr>
          <w:sz w:val="20"/>
          <w:lang w:val="pt-BR"/>
        </w:rPr>
        <w:t>R.F.Gennari</w:t>
      </w:r>
      <w:r w:rsidRPr="00D37EED">
        <w:rPr>
          <w:sz w:val="20"/>
          <w:vertAlign w:val="superscript"/>
          <w:lang w:val="pt-BR"/>
        </w:rPr>
        <w:t>1</w:t>
      </w:r>
      <w:r w:rsidRPr="00F64DC3">
        <w:rPr>
          <w:sz w:val="20"/>
          <w:lang w:val="pt-BR"/>
        </w:rPr>
        <w:t>, Maria H. Martins</w:t>
      </w:r>
      <w:r w:rsidRPr="00D37EED">
        <w:rPr>
          <w:sz w:val="20"/>
          <w:vertAlign w:val="superscript"/>
          <w:lang w:val="pt-BR"/>
        </w:rPr>
        <w:t>1</w:t>
      </w:r>
      <w:r w:rsidRPr="00F64DC3">
        <w:rPr>
          <w:sz w:val="20"/>
          <w:lang w:val="pt-BR"/>
        </w:rPr>
        <w:t xml:space="preserve">, </w:t>
      </w:r>
      <w:proofErr w:type="spellStart"/>
      <w:r w:rsidRPr="00F64DC3">
        <w:rPr>
          <w:sz w:val="20"/>
          <w:lang w:val="pt-BR"/>
        </w:rPr>
        <w:t>Gundu</w:t>
      </w:r>
      <w:proofErr w:type="spellEnd"/>
      <w:r w:rsidRPr="00F64DC3">
        <w:rPr>
          <w:sz w:val="20"/>
          <w:lang w:val="pt-BR"/>
        </w:rPr>
        <w:t xml:space="preserve"> Rao</w:t>
      </w:r>
      <w:r w:rsidRPr="00D37EED">
        <w:rPr>
          <w:sz w:val="20"/>
          <w:vertAlign w:val="superscript"/>
          <w:lang w:val="pt-BR"/>
        </w:rPr>
        <w:t>1</w:t>
      </w:r>
      <w:r w:rsidRPr="00F64DC3">
        <w:rPr>
          <w:sz w:val="20"/>
          <w:lang w:val="pt-BR"/>
        </w:rPr>
        <w:t xml:space="preserve">, </w:t>
      </w:r>
      <w:proofErr w:type="spellStart"/>
      <w:r w:rsidRPr="00F64DC3">
        <w:rPr>
          <w:sz w:val="20"/>
          <w:lang w:val="pt-BR"/>
        </w:rPr>
        <w:t>Shigueo</w:t>
      </w:r>
      <w:proofErr w:type="spellEnd"/>
      <w:r w:rsidRPr="00F64DC3">
        <w:rPr>
          <w:sz w:val="20"/>
          <w:lang w:val="pt-BR"/>
        </w:rPr>
        <w:t xml:space="preserve"> Watanabe</w:t>
      </w:r>
      <w:r w:rsidRPr="00D37EED">
        <w:rPr>
          <w:sz w:val="20"/>
          <w:vertAlign w:val="superscript"/>
          <w:lang w:val="pt-BR"/>
        </w:rPr>
        <w:t>1</w:t>
      </w:r>
      <w:r w:rsidRPr="00F64DC3">
        <w:rPr>
          <w:sz w:val="20"/>
          <w:lang w:val="pt-BR"/>
        </w:rPr>
        <w:t>, Letícia Mendes</w:t>
      </w:r>
      <w:r w:rsidRPr="00D37EED">
        <w:rPr>
          <w:sz w:val="20"/>
          <w:vertAlign w:val="superscript"/>
          <w:lang w:val="pt-BR"/>
        </w:rPr>
        <w:t>1</w:t>
      </w:r>
      <w:r w:rsidRPr="00F64DC3">
        <w:rPr>
          <w:sz w:val="20"/>
          <w:lang w:val="pt-BR"/>
        </w:rPr>
        <w:t>, Karina Sato</w:t>
      </w:r>
      <w:r w:rsidRPr="00D37EED">
        <w:rPr>
          <w:sz w:val="20"/>
          <w:vertAlign w:val="superscript"/>
          <w:lang w:val="pt-BR"/>
        </w:rPr>
        <w:t>1</w:t>
      </w:r>
      <w:r w:rsidRPr="00F64DC3">
        <w:rPr>
          <w:sz w:val="20"/>
          <w:lang w:val="pt-BR"/>
        </w:rPr>
        <w:t>, René Rocas</w:t>
      </w:r>
      <w:r w:rsidRPr="00D37EED">
        <w:rPr>
          <w:sz w:val="20"/>
          <w:vertAlign w:val="superscript"/>
          <w:lang w:val="pt-BR"/>
        </w:rPr>
        <w:t>2</w:t>
      </w:r>
      <w:r w:rsidRPr="00F64DC3">
        <w:rPr>
          <w:sz w:val="20"/>
          <w:lang w:val="pt-BR"/>
        </w:rPr>
        <w:t xml:space="preserve">, Lucas </w:t>
      </w:r>
      <w:proofErr w:type="gramStart"/>
      <w:r w:rsidRPr="00F64DC3">
        <w:rPr>
          <w:sz w:val="20"/>
          <w:lang w:val="pt-BR"/>
        </w:rPr>
        <w:t>Bueno</w:t>
      </w:r>
      <w:r w:rsidRPr="00D37EED">
        <w:rPr>
          <w:sz w:val="20"/>
          <w:vertAlign w:val="superscript"/>
          <w:lang w:val="pt-BR"/>
        </w:rPr>
        <w:t>3</w:t>
      </w:r>
      <w:proofErr w:type="gramEnd"/>
    </w:p>
    <w:p w:rsidR="00B87382" w:rsidRPr="00F64DC3" w:rsidRDefault="00B87382">
      <w:pPr>
        <w:autoSpaceDE w:val="0"/>
        <w:jc w:val="center"/>
        <w:rPr>
          <w:sz w:val="20"/>
          <w:lang w:val="pt-BR"/>
        </w:rPr>
      </w:pPr>
    </w:p>
    <w:p w:rsidR="00B87382" w:rsidRPr="00F64DC3" w:rsidRDefault="00876940">
      <w:pPr>
        <w:autoSpaceDE w:val="0"/>
        <w:jc w:val="center"/>
        <w:rPr>
          <w:sz w:val="20"/>
          <w:vertAlign w:val="superscript"/>
          <w:lang w:val="pt-BR"/>
        </w:rPr>
      </w:pPr>
      <w:proofErr w:type="gramStart"/>
      <w:r w:rsidRPr="00F64DC3">
        <w:rPr>
          <w:sz w:val="20"/>
          <w:vertAlign w:val="superscript"/>
          <w:lang w:val="pt-BR"/>
        </w:rPr>
        <w:t>1</w:t>
      </w:r>
      <w:r w:rsidR="00F64DC3" w:rsidRPr="00F64DC3">
        <w:rPr>
          <w:sz w:val="20"/>
          <w:lang w:val="pt-BR"/>
        </w:rPr>
        <w:t>Institute</w:t>
      </w:r>
      <w:proofErr w:type="gramEnd"/>
      <w:r w:rsidR="00F64DC3" w:rsidRPr="00F64DC3">
        <w:rPr>
          <w:sz w:val="20"/>
          <w:lang w:val="pt-BR"/>
        </w:rPr>
        <w:t xml:space="preserve"> </w:t>
      </w:r>
      <w:proofErr w:type="spellStart"/>
      <w:r w:rsidR="00F64DC3" w:rsidRPr="00F64DC3">
        <w:rPr>
          <w:sz w:val="20"/>
          <w:lang w:val="pt-BR"/>
        </w:rPr>
        <w:t>of</w:t>
      </w:r>
      <w:proofErr w:type="spellEnd"/>
      <w:r w:rsidR="00F64DC3" w:rsidRPr="00F64DC3">
        <w:rPr>
          <w:sz w:val="20"/>
          <w:lang w:val="pt-BR"/>
        </w:rPr>
        <w:t xml:space="preserve"> </w:t>
      </w:r>
      <w:proofErr w:type="spellStart"/>
      <w:r w:rsidR="00F64DC3" w:rsidRPr="00F64DC3">
        <w:rPr>
          <w:sz w:val="20"/>
          <w:lang w:val="pt-BR"/>
        </w:rPr>
        <w:t>Physics</w:t>
      </w:r>
      <w:proofErr w:type="spellEnd"/>
      <w:r w:rsidR="00F64DC3" w:rsidRPr="00F64DC3">
        <w:rPr>
          <w:sz w:val="20"/>
          <w:lang w:val="pt-BR"/>
        </w:rPr>
        <w:t xml:space="preserve">, </w:t>
      </w:r>
      <w:proofErr w:type="spellStart"/>
      <w:r w:rsidR="00F64DC3" w:rsidRPr="00F64DC3">
        <w:rPr>
          <w:sz w:val="20"/>
          <w:lang w:val="pt-BR"/>
        </w:rPr>
        <w:t>University</w:t>
      </w:r>
      <w:proofErr w:type="spellEnd"/>
      <w:r w:rsidR="00F64DC3" w:rsidRPr="00F64DC3">
        <w:rPr>
          <w:sz w:val="20"/>
          <w:lang w:val="pt-BR"/>
        </w:rPr>
        <w:t xml:space="preserve"> </w:t>
      </w:r>
      <w:proofErr w:type="spellStart"/>
      <w:r w:rsidR="00F64DC3" w:rsidRPr="00F64DC3">
        <w:rPr>
          <w:sz w:val="20"/>
          <w:lang w:val="pt-BR"/>
        </w:rPr>
        <w:t>of</w:t>
      </w:r>
      <w:proofErr w:type="spellEnd"/>
      <w:r w:rsidR="00F64DC3" w:rsidRPr="00F64DC3">
        <w:rPr>
          <w:sz w:val="20"/>
          <w:lang w:val="pt-BR"/>
        </w:rPr>
        <w:t xml:space="preserve"> São Paulo, R. Do Matão, 187, São Paulo/SP, </w:t>
      </w:r>
      <w:proofErr w:type="spellStart"/>
      <w:r w:rsidR="00F64DC3" w:rsidRPr="00F64DC3">
        <w:rPr>
          <w:sz w:val="20"/>
          <w:lang w:val="pt-BR"/>
        </w:rPr>
        <w:t>Brazil</w:t>
      </w:r>
      <w:proofErr w:type="spellEnd"/>
      <w:r w:rsidR="00F64DC3" w:rsidRPr="00F64DC3">
        <w:rPr>
          <w:sz w:val="20"/>
          <w:lang w:val="pt-BR"/>
        </w:rPr>
        <w:t>,</w:t>
      </w:r>
      <w:r w:rsidRPr="00F64DC3">
        <w:rPr>
          <w:sz w:val="20"/>
          <w:lang w:val="pt-BR"/>
        </w:rPr>
        <w:t xml:space="preserve"> </w:t>
      </w:r>
      <w:hyperlink r:id="rId7" w:history="1">
        <w:r w:rsidR="00F64DC3" w:rsidRPr="00B6433E">
          <w:rPr>
            <w:rStyle w:val="Hyperlink"/>
            <w:sz w:val="20"/>
            <w:lang w:val="pt-BR"/>
          </w:rPr>
          <w:t>rgennari@usp.br</w:t>
        </w:r>
      </w:hyperlink>
    </w:p>
    <w:p w:rsidR="00B87382" w:rsidRDefault="00876940">
      <w:pPr>
        <w:autoSpaceDE w:val="0"/>
        <w:jc w:val="center"/>
        <w:rPr>
          <w:sz w:val="20"/>
          <w:lang w:val="en-GB" w:eastAsia="de-DE"/>
        </w:rPr>
      </w:pPr>
      <w:r>
        <w:rPr>
          <w:sz w:val="20"/>
          <w:vertAlign w:val="superscript"/>
          <w:lang w:val="en-GB"/>
        </w:rPr>
        <w:t>2</w:t>
      </w:r>
      <w:r>
        <w:rPr>
          <w:sz w:val="20"/>
          <w:lang w:val="en-GB" w:eastAsia="de-DE"/>
        </w:rPr>
        <w:t xml:space="preserve"> </w:t>
      </w:r>
      <w:r w:rsidR="00F64DC3" w:rsidRPr="00F64DC3">
        <w:rPr>
          <w:sz w:val="20"/>
          <w:lang w:val="en-GB" w:eastAsia="de-DE"/>
        </w:rPr>
        <w:t xml:space="preserve">Federal </w:t>
      </w:r>
      <w:proofErr w:type="gramStart"/>
      <w:r w:rsidR="00F64DC3" w:rsidRPr="00F64DC3">
        <w:rPr>
          <w:sz w:val="20"/>
          <w:lang w:val="en-GB" w:eastAsia="de-DE"/>
        </w:rPr>
        <w:t>University</w:t>
      </w:r>
      <w:proofErr w:type="gramEnd"/>
      <w:r w:rsidR="00F64DC3" w:rsidRPr="00F64DC3">
        <w:rPr>
          <w:sz w:val="20"/>
          <w:lang w:val="en-GB" w:eastAsia="de-DE"/>
        </w:rPr>
        <w:t xml:space="preserve"> of São Paulo State, Campus </w:t>
      </w:r>
      <w:proofErr w:type="spellStart"/>
      <w:r w:rsidR="00F64DC3" w:rsidRPr="00F64DC3">
        <w:rPr>
          <w:sz w:val="20"/>
          <w:lang w:val="en-GB" w:eastAsia="de-DE"/>
        </w:rPr>
        <w:t>Baixada</w:t>
      </w:r>
      <w:proofErr w:type="spellEnd"/>
      <w:r w:rsidR="00F64DC3" w:rsidRPr="00F64DC3">
        <w:rPr>
          <w:sz w:val="20"/>
          <w:lang w:val="en-GB" w:eastAsia="de-DE"/>
        </w:rPr>
        <w:t xml:space="preserve"> </w:t>
      </w:r>
      <w:proofErr w:type="spellStart"/>
      <w:r w:rsidR="00F64DC3" w:rsidRPr="00F64DC3">
        <w:rPr>
          <w:sz w:val="20"/>
          <w:lang w:val="en-GB" w:eastAsia="de-DE"/>
        </w:rPr>
        <w:t>Santista</w:t>
      </w:r>
      <w:proofErr w:type="spellEnd"/>
      <w:r w:rsidR="00F64DC3" w:rsidRPr="00F64DC3">
        <w:rPr>
          <w:sz w:val="20"/>
          <w:lang w:val="en-GB" w:eastAsia="de-DE"/>
        </w:rPr>
        <w:t xml:space="preserve">, Santos/SP, Brazil </w:t>
      </w:r>
    </w:p>
    <w:p w:rsidR="00F64DC3" w:rsidRPr="00F64DC3" w:rsidRDefault="00F64DC3" w:rsidP="00F64DC3">
      <w:pPr>
        <w:autoSpaceDE w:val="0"/>
        <w:jc w:val="center"/>
        <w:rPr>
          <w:sz w:val="20"/>
        </w:rPr>
      </w:pPr>
      <w:r>
        <w:rPr>
          <w:sz w:val="20"/>
          <w:vertAlign w:val="superscript"/>
        </w:rPr>
        <w:t>3</w:t>
      </w:r>
      <w:r w:rsidRPr="00F64DC3">
        <w:rPr>
          <w:sz w:val="20"/>
          <w:lang w:eastAsia="de-DE"/>
        </w:rPr>
        <w:t xml:space="preserve"> Federal </w:t>
      </w:r>
      <w:proofErr w:type="gramStart"/>
      <w:r w:rsidRPr="00F64DC3">
        <w:rPr>
          <w:sz w:val="20"/>
          <w:lang w:eastAsia="de-DE"/>
        </w:rPr>
        <w:t>University</w:t>
      </w:r>
      <w:proofErr w:type="gramEnd"/>
      <w:r w:rsidRPr="00F64DC3">
        <w:rPr>
          <w:sz w:val="20"/>
          <w:lang w:eastAsia="de-DE"/>
        </w:rPr>
        <w:t xml:space="preserve"> of Santa </w:t>
      </w:r>
      <w:proofErr w:type="spellStart"/>
      <w:r w:rsidRPr="00F64DC3">
        <w:rPr>
          <w:sz w:val="20"/>
          <w:lang w:eastAsia="de-DE"/>
        </w:rPr>
        <w:t>Catarina</w:t>
      </w:r>
      <w:proofErr w:type="spellEnd"/>
      <w:r w:rsidRPr="00F64DC3">
        <w:rPr>
          <w:sz w:val="20"/>
          <w:lang w:eastAsia="de-DE"/>
        </w:rPr>
        <w:t xml:space="preserve"> State, </w:t>
      </w:r>
      <w:proofErr w:type="spellStart"/>
      <w:r w:rsidRPr="00F64DC3">
        <w:rPr>
          <w:sz w:val="20"/>
          <w:lang w:eastAsia="de-DE"/>
        </w:rPr>
        <w:t>Florianópolis</w:t>
      </w:r>
      <w:proofErr w:type="spellEnd"/>
      <w:r w:rsidRPr="00F64DC3">
        <w:rPr>
          <w:sz w:val="20"/>
          <w:lang w:eastAsia="de-DE"/>
        </w:rPr>
        <w:t>/SC, Brazil</w:t>
      </w:r>
    </w:p>
    <w:p w:rsidR="00F64DC3" w:rsidRPr="00F64DC3" w:rsidRDefault="00F64DC3">
      <w:pPr>
        <w:autoSpaceDE w:val="0"/>
        <w:jc w:val="center"/>
        <w:rPr>
          <w:sz w:val="20"/>
        </w:rPr>
      </w:pPr>
    </w:p>
    <w:p w:rsidR="00B87382" w:rsidRPr="00F64DC3" w:rsidRDefault="00B87382">
      <w:pPr>
        <w:autoSpaceDE w:val="0"/>
        <w:rPr>
          <w:sz w:val="20"/>
        </w:rPr>
      </w:pPr>
    </w:p>
    <w:p w:rsidR="00B87382" w:rsidRPr="00F64DC3" w:rsidRDefault="00B87382">
      <w:pPr>
        <w:spacing w:line="240" w:lineRule="atLeast"/>
        <w:ind w:firstLine="288"/>
        <w:jc w:val="both"/>
        <w:rPr>
          <w:sz w:val="20"/>
        </w:rPr>
      </w:pPr>
    </w:p>
    <w:p w:rsidR="00B87382" w:rsidRPr="00F64DC3" w:rsidRDefault="00B87382">
      <w:pPr>
        <w:sectPr w:rsidR="00B87382" w:rsidRPr="00F64DC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20" w:footer="720" w:gutter="0"/>
          <w:cols w:space="720"/>
          <w:docGrid w:linePitch="360"/>
        </w:sectPr>
      </w:pPr>
    </w:p>
    <w:p w:rsidR="00F64DC3" w:rsidRDefault="00876940" w:rsidP="00F64DC3">
      <w:pPr>
        <w:ind w:firstLine="289"/>
        <w:jc w:val="both"/>
        <w:rPr>
          <w:sz w:val="20"/>
        </w:rPr>
      </w:pPr>
      <w:r>
        <w:rPr>
          <w:b/>
          <w:sz w:val="20"/>
          <w:lang w:val="en-GB"/>
        </w:rPr>
        <w:lastRenderedPageBreak/>
        <w:t>Introduction:</w:t>
      </w:r>
      <w:r>
        <w:rPr>
          <w:sz w:val="20"/>
          <w:lang w:val="en-GB"/>
        </w:rPr>
        <w:t xml:space="preserve"> </w:t>
      </w:r>
      <w:proofErr w:type="spellStart"/>
      <w:r w:rsidR="00F64DC3" w:rsidRPr="00F64DC3">
        <w:rPr>
          <w:sz w:val="20"/>
        </w:rPr>
        <w:t>Shellmounds</w:t>
      </w:r>
      <w:proofErr w:type="spellEnd"/>
      <w:r w:rsidR="00F64DC3" w:rsidRPr="00F64DC3">
        <w:rPr>
          <w:sz w:val="20"/>
        </w:rPr>
        <w:t xml:space="preserve"> are found in large number along the Southeast and Southern Brazilian Coast. Their sizes range from about 1 up to 25 meters altitude and from 2 up to 5 meters width. As to their origin there is no unique definition. Originally, it was supposed to be due to sea shore inhabitants that threw remains of shell fish bones in the course of long rivers. More recently, some authors claimed the </w:t>
      </w:r>
      <w:proofErr w:type="spellStart"/>
      <w:r w:rsidR="00F64DC3" w:rsidRPr="00F64DC3">
        <w:rPr>
          <w:sz w:val="20"/>
        </w:rPr>
        <w:t>shellmounts</w:t>
      </w:r>
      <w:proofErr w:type="spellEnd"/>
      <w:r w:rsidR="00F64DC3" w:rsidRPr="00F64DC3">
        <w:rPr>
          <w:sz w:val="20"/>
        </w:rPr>
        <w:t xml:space="preserve"> were made as burial site for some people. </w:t>
      </w:r>
    </w:p>
    <w:p w:rsidR="009B23D3" w:rsidRDefault="00F64DC3" w:rsidP="00F64DC3">
      <w:pPr>
        <w:ind w:firstLine="289"/>
        <w:jc w:val="both"/>
        <w:rPr>
          <w:sz w:val="20"/>
        </w:rPr>
      </w:pPr>
      <w:r w:rsidRPr="00F64DC3">
        <w:rPr>
          <w:sz w:val="20"/>
        </w:rPr>
        <w:t xml:space="preserve">Florianopolis Island, Capital of the Santa </w:t>
      </w:r>
      <w:proofErr w:type="spellStart"/>
      <w:r w:rsidRPr="00F64DC3">
        <w:rPr>
          <w:sz w:val="20"/>
        </w:rPr>
        <w:t>Catarina</w:t>
      </w:r>
      <w:proofErr w:type="spellEnd"/>
      <w:r w:rsidR="009B23D3">
        <w:rPr>
          <w:sz w:val="20"/>
        </w:rPr>
        <w:t xml:space="preserve"> (SC)</w:t>
      </w:r>
      <w:r w:rsidRPr="00F64DC3">
        <w:rPr>
          <w:sz w:val="20"/>
        </w:rPr>
        <w:t xml:space="preserve"> State, is located in Brazil South and</w:t>
      </w:r>
      <w:r w:rsidR="009B23D3">
        <w:rPr>
          <w:sz w:val="20"/>
        </w:rPr>
        <w:t xml:space="preserve"> it</w:t>
      </w:r>
      <w:r w:rsidRPr="00F64DC3">
        <w:rPr>
          <w:sz w:val="20"/>
        </w:rPr>
        <w:t xml:space="preserve"> is an island. Around 50 sites containing </w:t>
      </w:r>
      <w:proofErr w:type="spellStart"/>
      <w:r w:rsidRPr="00F64DC3">
        <w:rPr>
          <w:sz w:val="20"/>
        </w:rPr>
        <w:t>shellmounds</w:t>
      </w:r>
      <w:proofErr w:type="spellEnd"/>
      <w:r w:rsidRPr="00F64DC3">
        <w:rPr>
          <w:sz w:val="20"/>
        </w:rPr>
        <w:t xml:space="preserve"> were </w:t>
      </w:r>
      <w:proofErr w:type="spellStart"/>
      <w:r w:rsidRPr="00F64DC3">
        <w:rPr>
          <w:sz w:val="20"/>
        </w:rPr>
        <w:t>found</w:t>
      </w:r>
      <w:r w:rsidR="009B23D3">
        <w:rPr>
          <w:sz w:val="20"/>
        </w:rPr>
        <w:t>on</w:t>
      </w:r>
      <w:proofErr w:type="spellEnd"/>
      <w:r w:rsidR="009B23D3">
        <w:rPr>
          <w:sz w:val="20"/>
        </w:rPr>
        <w:t xml:space="preserve"> it</w:t>
      </w:r>
      <w:r w:rsidRPr="00F64DC3">
        <w:rPr>
          <w:sz w:val="20"/>
        </w:rPr>
        <w:t>, most of them are medium and small sizes, containing organic part</w:t>
      </w:r>
      <w:r w:rsidRPr="00F64DC3">
        <w:rPr>
          <w:sz w:val="20"/>
        </w:rPr>
        <w:t>i</w:t>
      </w:r>
      <w:r w:rsidRPr="00F64DC3">
        <w:rPr>
          <w:sz w:val="20"/>
        </w:rPr>
        <w:t xml:space="preserve">cles, whole or fragmented shells and quartz grain with sediments. </w:t>
      </w:r>
    </w:p>
    <w:p w:rsidR="009B23D3" w:rsidRDefault="009B23D3" w:rsidP="00F64DC3">
      <w:pPr>
        <w:ind w:firstLine="289"/>
        <w:jc w:val="both"/>
        <w:rPr>
          <w:sz w:val="20"/>
        </w:rPr>
      </w:pPr>
    </w:p>
    <w:p w:rsidR="009B23D3" w:rsidRDefault="009B23D3" w:rsidP="00F64DC3">
      <w:pPr>
        <w:ind w:firstLine="289"/>
        <w:jc w:val="both"/>
        <w:rPr>
          <w:sz w:val="20"/>
        </w:rPr>
      </w:pPr>
      <w:r w:rsidRPr="009B23D3">
        <w:rPr>
          <w:b/>
          <w:sz w:val="20"/>
        </w:rPr>
        <w:t>Experimental:</w:t>
      </w:r>
      <w:r>
        <w:rPr>
          <w:sz w:val="20"/>
        </w:rPr>
        <w:t xml:space="preserve"> </w:t>
      </w:r>
      <w:r w:rsidR="00F64DC3" w:rsidRPr="00F64DC3">
        <w:rPr>
          <w:sz w:val="20"/>
        </w:rPr>
        <w:t xml:space="preserve">Samples of </w:t>
      </w:r>
      <w:proofErr w:type="spellStart"/>
      <w:r w:rsidR="00F64DC3" w:rsidRPr="00F64DC3">
        <w:rPr>
          <w:sz w:val="20"/>
        </w:rPr>
        <w:t>shellmound</w:t>
      </w:r>
      <w:proofErr w:type="spellEnd"/>
      <w:r w:rsidR="00F64DC3" w:rsidRPr="00F64DC3">
        <w:rPr>
          <w:sz w:val="20"/>
        </w:rPr>
        <w:t xml:space="preserve"> material</w:t>
      </w:r>
      <w:r>
        <w:rPr>
          <w:sz w:val="20"/>
        </w:rPr>
        <w:t xml:space="preserve"> from two sites, </w:t>
      </w:r>
      <w:r w:rsidRPr="00F64DC3">
        <w:rPr>
          <w:sz w:val="20"/>
        </w:rPr>
        <w:t xml:space="preserve">Ponta das </w:t>
      </w:r>
      <w:proofErr w:type="spellStart"/>
      <w:r w:rsidRPr="00F64DC3">
        <w:rPr>
          <w:sz w:val="20"/>
        </w:rPr>
        <w:t>Vigias</w:t>
      </w:r>
      <w:proofErr w:type="spellEnd"/>
      <w:r w:rsidRPr="00F64DC3">
        <w:rPr>
          <w:sz w:val="20"/>
        </w:rPr>
        <w:t xml:space="preserve"> (PV)</w:t>
      </w:r>
      <w:r>
        <w:rPr>
          <w:sz w:val="20"/>
        </w:rPr>
        <w:t xml:space="preserve"> and </w:t>
      </w:r>
      <w:r w:rsidRPr="00F64DC3">
        <w:rPr>
          <w:sz w:val="20"/>
        </w:rPr>
        <w:t xml:space="preserve">Canto dos </w:t>
      </w:r>
      <w:proofErr w:type="spellStart"/>
      <w:r w:rsidRPr="00F64DC3">
        <w:rPr>
          <w:sz w:val="20"/>
        </w:rPr>
        <w:t>Araçás</w:t>
      </w:r>
      <w:proofErr w:type="spellEnd"/>
      <w:r>
        <w:rPr>
          <w:sz w:val="20"/>
        </w:rPr>
        <w:t xml:space="preserve"> (CA), located in SC State, were</w:t>
      </w:r>
      <w:r w:rsidR="00F64DC3" w:rsidRPr="00F64DC3">
        <w:rPr>
          <w:sz w:val="20"/>
        </w:rPr>
        <w:t xml:space="preserve"> collected for dating. The samples were taken from base (B), “mi</w:t>
      </w:r>
      <w:r w:rsidR="00F64DC3" w:rsidRPr="00F64DC3">
        <w:rPr>
          <w:sz w:val="20"/>
        </w:rPr>
        <w:t>d</w:t>
      </w:r>
      <w:r w:rsidR="00F64DC3" w:rsidRPr="00F64DC3">
        <w:rPr>
          <w:sz w:val="20"/>
        </w:rPr>
        <w:t>dle” point (B), and close to the top (T)</w:t>
      </w:r>
      <w:r w:rsidR="000702C3">
        <w:rPr>
          <w:sz w:val="20"/>
        </w:rPr>
        <w:t xml:space="preserve"> of </w:t>
      </w:r>
      <w:r w:rsidR="00CD7A48">
        <w:rPr>
          <w:sz w:val="20"/>
        </w:rPr>
        <w:t xml:space="preserve">each </w:t>
      </w:r>
      <w:proofErr w:type="spellStart"/>
      <w:r w:rsidR="000702C3">
        <w:rPr>
          <w:sz w:val="20"/>
        </w:rPr>
        <w:t>shellmound</w:t>
      </w:r>
      <w:proofErr w:type="spellEnd"/>
      <w:r w:rsidR="00F64DC3" w:rsidRPr="00F64DC3">
        <w:rPr>
          <w:sz w:val="20"/>
        </w:rPr>
        <w:t xml:space="preserve">. </w:t>
      </w:r>
    </w:p>
    <w:p w:rsidR="009208E0" w:rsidRDefault="00F64DC3" w:rsidP="00F64DC3">
      <w:pPr>
        <w:ind w:firstLine="289"/>
        <w:jc w:val="both"/>
        <w:rPr>
          <w:sz w:val="20"/>
        </w:rPr>
      </w:pPr>
      <w:r w:rsidRPr="00F64DC3">
        <w:rPr>
          <w:sz w:val="20"/>
        </w:rPr>
        <w:t xml:space="preserve">Initially, </w:t>
      </w:r>
      <w:r w:rsidR="00CD7A48">
        <w:rPr>
          <w:sz w:val="20"/>
        </w:rPr>
        <w:t>an aliquot</w:t>
      </w:r>
      <w:r w:rsidRPr="00F64DC3">
        <w:rPr>
          <w:sz w:val="20"/>
        </w:rPr>
        <w:t xml:space="preserve"> of samples were washed in solutions of H</w:t>
      </w:r>
      <w:r w:rsidRPr="00E55DF1">
        <w:rPr>
          <w:sz w:val="20"/>
          <w:vertAlign w:val="subscript"/>
        </w:rPr>
        <w:t>2</w:t>
      </w:r>
      <w:r w:rsidRPr="00F64DC3">
        <w:rPr>
          <w:sz w:val="20"/>
        </w:rPr>
        <w:t>O</w:t>
      </w:r>
      <w:r w:rsidRPr="00E55DF1">
        <w:rPr>
          <w:sz w:val="20"/>
          <w:vertAlign w:val="subscript"/>
        </w:rPr>
        <w:t>2</w:t>
      </w:r>
      <w:r w:rsidRPr="00F64DC3">
        <w:rPr>
          <w:sz w:val="20"/>
        </w:rPr>
        <w:t xml:space="preserve"> </w:t>
      </w:r>
      <w:r w:rsidRPr="00E55DF1">
        <w:rPr>
          <w:sz w:val="20"/>
          <w:vertAlign w:val="subscript"/>
        </w:rPr>
        <w:t>(20%v/v)</w:t>
      </w:r>
      <w:r w:rsidRPr="00F64DC3">
        <w:rPr>
          <w:sz w:val="20"/>
        </w:rPr>
        <w:t xml:space="preserve">, </w:t>
      </w:r>
      <w:proofErr w:type="spellStart"/>
      <w:proofErr w:type="gramStart"/>
      <w:r w:rsidRPr="00F64DC3">
        <w:rPr>
          <w:sz w:val="20"/>
        </w:rPr>
        <w:t>HCl</w:t>
      </w:r>
      <w:proofErr w:type="spellEnd"/>
      <w:r w:rsidRPr="00E55DF1">
        <w:rPr>
          <w:sz w:val="20"/>
          <w:vertAlign w:val="subscript"/>
        </w:rPr>
        <w:t>(</w:t>
      </w:r>
      <w:proofErr w:type="gramEnd"/>
      <w:r w:rsidRPr="00E55DF1">
        <w:rPr>
          <w:sz w:val="20"/>
          <w:vertAlign w:val="subscript"/>
        </w:rPr>
        <w:t>conc.)</w:t>
      </w:r>
      <w:r w:rsidRPr="00F64DC3">
        <w:rPr>
          <w:sz w:val="20"/>
        </w:rPr>
        <w:t xml:space="preserve">, and HF </w:t>
      </w:r>
      <w:r w:rsidRPr="00E55DF1">
        <w:rPr>
          <w:sz w:val="20"/>
          <w:vertAlign w:val="subscript"/>
        </w:rPr>
        <w:t>(28%v/v)</w:t>
      </w:r>
      <w:r w:rsidRPr="00F64DC3">
        <w:rPr>
          <w:sz w:val="20"/>
        </w:rPr>
        <w:t>. H</w:t>
      </w:r>
      <w:r w:rsidRPr="00E55DF1">
        <w:rPr>
          <w:sz w:val="20"/>
          <w:vertAlign w:val="subscript"/>
        </w:rPr>
        <w:t>2</w:t>
      </w:r>
      <w:r w:rsidRPr="00F64DC3">
        <w:rPr>
          <w:sz w:val="20"/>
        </w:rPr>
        <w:t>O</w:t>
      </w:r>
      <w:r w:rsidRPr="00E55DF1">
        <w:rPr>
          <w:sz w:val="20"/>
          <w:vertAlign w:val="subscript"/>
        </w:rPr>
        <w:t>2</w:t>
      </w:r>
      <w:r w:rsidRPr="00F64DC3">
        <w:rPr>
          <w:sz w:val="20"/>
        </w:rPr>
        <w:t xml:space="preserve"> sol</w:t>
      </w:r>
      <w:r w:rsidRPr="00F64DC3">
        <w:rPr>
          <w:sz w:val="20"/>
        </w:rPr>
        <w:t>u</w:t>
      </w:r>
      <w:r w:rsidRPr="00F64DC3">
        <w:rPr>
          <w:sz w:val="20"/>
        </w:rPr>
        <w:t>tion elim</w:t>
      </w:r>
      <w:r w:rsidR="00CD7A48">
        <w:rPr>
          <w:sz w:val="20"/>
        </w:rPr>
        <w:t xml:space="preserve">inates organic material and </w:t>
      </w:r>
      <w:r w:rsidRPr="00F64DC3">
        <w:rPr>
          <w:sz w:val="20"/>
        </w:rPr>
        <w:t xml:space="preserve">dark particles reducing almost 85% of the total sample aliquot. Since shells are basically calcite, leaching with HF and </w:t>
      </w:r>
      <w:proofErr w:type="spellStart"/>
      <w:r w:rsidRPr="00F64DC3">
        <w:rPr>
          <w:sz w:val="20"/>
        </w:rPr>
        <w:t>HCl</w:t>
      </w:r>
      <w:proofErr w:type="spellEnd"/>
      <w:r w:rsidRPr="00F64DC3">
        <w:rPr>
          <w:sz w:val="20"/>
        </w:rPr>
        <w:t xml:space="preserve"> promotes its dissolution. At the end, only remains a very small po</w:t>
      </w:r>
      <w:r w:rsidRPr="00F64DC3">
        <w:rPr>
          <w:sz w:val="20"/>
        </w:rPr>
        <w:t>r</w:t>
      </w:r>
      <w:r w:rsidRPr="00F64DC3">
        <w:rPr>
          <w:sz w:val="20"/>
        </w:rPr>
        <w:t xml:space="preserve">tion of sediments. The chemically treated samples were then sieved to retain grain sizes ranging between 0.080 and 0.180 mm diameter. </w:t>
      </w:r>
      <w:proofErr w:type="spellStart"/>
      <w:r w:rsidRPr="00F64DC3">
        <w:rPr>
          <w:sz w:val="20"/>
        </w:rPr>
        <w:t>Thermoluminescence</w:t>
      </w:r>
      <w:proofErr w:type="spellEnd"/>
      <w:r w:rsidRPr="00F64DC3">
        <w:rPr>
          <w:sz w:val="20"/>
        </w:rPr>
        <w:t xml:space="preserve"> (TL) and EPR were used for the accumulated </w:t>
      </w:r>
      <w:r w:rsidR="00E55DF1">
        <w:rPr>
          <w:sz w:val="20"/>
        </w:rPr>
        <w:t>dose (</w:t>
      </w:r>
      <w:proofErr w:type="spellStart"/>
      <w:r w:rsidR="00E55DF1">
        <w:rPr>
          <w:sz w:val="20"/>
        </w:rPr>
        <w:t>Dac</w:t>
      </w:r>
      <w:proofErr w:type="spellEnd"/>
      <w:r w:rsidR="00E55DF1">
        <w:rPr>
          <w:sz w:val="20"/>
        </w:rPr>
        <w:t>) evalua</w:t>
      </w:r>
      <w:r w:rsidRPr="00F64DC3">
        <w:rPr>
          <w:sz w:val="20"/>
        </w:rPr>
        <w:t>tion using the additive method. SAR protocol was applied in the OSL tec</w:t>
      </w:r>
      <w:r w:rsidRPr="00F64DC3">
        <w:rPr>
          <w:sz w:val="20"/>
        </w:rPr>
        <w:t>h</w:t>
      </w:r>
      <w:r w:rsidRPr="00F64DC3">
        <w:rPr>
          <w:sz w:val="20"/>
        </w:rPr>
        <w:t xml:space="preserve">nique, however, only T sample was </w:t>
      </w:r>
      <w:r w:rsidR="00A25CCB">
        <w:rPr>
          <w:sz w:val="20"/>
        </w:rPr>
        <w:t>studied</w:t>
      </w:r>
      <w:r w:rsidRPr="00F64DC3">
        <w:rPr>
          <w:sz w:val="20"/>
        </w:rPr>
        <w:t xml:space="preserve"> by this strategy</w:t>
      </w:r>
      <w:r w:rsidR="00A25CCB">
        <w:rPr>
          <w:sz w:val="20"/>
        </w:rPr>
        <w:t>.</w:t>
      </w:r>
    </w:p>
    <w:p w:rsidR="009208E0" w:rsidRPr="00A25CCB" w:rsidRDefault="001E3DAA" w:rsidP="00F64DC3">
      <w:pPr>
        <w:ind w:firstLine="289"/>
        <w:jc w:val="both"/>
        <w:rPr>
          <w:sz w:val="20"/>
        </w:rPr>
      </w:pPr>
      <w:r>
        <w:rPr>
          <w:sz w:val="20"/>
        </w:rPr>
        <w:t xml:space="preserve">In order to be feasible age determination, two data are need the accumulated dose and the annual dose (Dan). </w:t>
      </w:r>
      <w:r w:rsidRPr="001E3DAA">
        <w:rPr>
          <w:sz w:val="20"/>
        </w:rPr>
        <w:t xml:space="preserve">There are several methods to calculate Dan, in this study the </w:t>
      </w:r>
      <w:proofErr w:type="spellStart"/>
      <w:r w:rsidRPr="001E3DAA">
        <w:rPr>
          <w:sz w:val="20"/>
        </w:rPr>
        <w:t>Ikeya</w:t>
      </w:r>
      <w:proofErr w:type="spellEnd"/>
      <w:r w:rsidRPr="001E3DAA">
        <w:rPr>
          <w:sz w:val="20"/>
        </w:rPr>
        <w:t xml:space="preserve"> [9] tables 4.3 and 4.4 of (1993, pp 109 e110) were used</w:t>
      </w:r>
      <w:r>
        <w:rPr>
          <w:sz w:val="20"/>
        </w:rPr>
        <w:t xml:space="preserve">, however for applying these tables U, </w:t>
      </w:r>
      <w:proofErr w:type="spellStart"/>
      <w:r>
        <w:rPr>
          <w:sz w:val="20"/>
        </w:rPr>
        <w:t>Th</w:t>
      </w:r>
      <w:proofErr w:type="spellEnd"/>
      <w:r>
        <w:rPr>
          <w:sz w:val="20"/>
        </w:rPr>
        <w:t xml:space="preserve"> and K concentration are fundamental. U, </w:t>
      </w:r>
      <w:proofErr w:type="spellStart"/>
      <w:r>
        <w:rPr>
          <w:sz w:val="20"/>
        </w:rPr>
        <w:t>Th</w:t>
      </w:r>
      <w:proofErr w:type="spellEnd"/>
      <w:r>
        <w:rPr>
          <w:sz w:val="20"/>
        </w:rPr>
        <w:t xml:space="preserve"> and K conce</w:t>
      </w:r>
      <w:r>
        <w:rPr>
          <w:sz w:val="20"/>
        </w:rPr>
        <w:t>n</w:t>
      </w:r>
      <w:r>
        <w:rPr>
          <w:sz w:val="20"/>
        </w:rPr>
        <w:t>trations were obtained</w:t>
      </w:r>
      <w:r w:rsidR="00A25CCB">
        <w:rPr>
          <w:sz w:val="20"/>
        </w:rPr>
        <w:t xml:space="preserve"> by ICP-MS (Inductively Coupled Plasma Mass Spectrometry</w:t>
      </w:r>
      <w:r w:rsidR="001733A5">
        <w:rPr>
          <w:sz w:val="20"/>
        </w:rPr>
        <w:t xml:space="preserve">, </w:t>
      </w:r>
      <w:proofErr w:type="spellStart"/>
      <w:r w:rsidR="001733A5">
        <w:rPr>
          <w:sz w:val="20"/>
        </w:rPr>
        <w:t>Elan</w:t>
      </w:r>
      <w:proofErr w:type="spellEnd"/>
      <w:r w:rsidR="001733A5">
        <w:rPr>
          <w:sz w:val="20"/>
        </w:rPr>
        <w:t xml:space="preserve"> 6100 Perkin Elmer</w:t>
      </w:r>
      <w:r w:rsidR="00A25CCB">
        <w:rPr>
          <w:sz w:val="20"/>
        </w:rPr>
        <w:t xml:space="preserve">) </w:t>
      </w:r>
      <w:r>
        <w:rPr>
          <w:sz w:val="20"/>
        </w:rPr>
        <w:t>analysis</w:t>
      </w:r>
      <w:r w:rsidR="00A25CCB">
        <w:rPr>
          <w:sz w:val="20"/>
        </w:rPr>
        <w:t>. To be possible the</w:t>
      </w:r>
      <w:r>
        <w:rPr>
          <w:sz w:val="20"/>
        </w:rPr>
        <w:t xml:space="preserve">se </w:t>
      </w:r>
      <w:proofErr w:type="spellStart"/>
      <w:r>
        <w:rPr>
          <w:sz w:val="20"/>
        </w:rPr>
        <w:t>analyte</w:t>
      </w:r>
      <w:proofErr w:type="spellEnd"/>
      <w:r>
        <w:rPr>
          <w:sz w:val="20"/>
        </w:rPr>
        <w:t xml:space="preserve"> </w:t>
      </w:r>
      <w:r w:rsidR="00A25CCB">
        <w:rPr>
          <w:sz w:val="20"/>
        </w:rPr>
        <w:t xml:space="preserve">determinations, around 50mg of each sample was digested </w:t>
      </w:r>
      <w:r>
        <w:rPr>
          <w:sz w:val="20"/>
        </w:rPr>
        <w:t xml:space="preserve">with </w:t>
      </w:r>
      <w:r w:rsidR="00A25CCB">
        <w:rPr>
          <w:sz w:val="20"/>
        </w:rPr>
        <w:t>micr</w:t>
      </w:r>
      <w:r w:rsidR="00A25CCB">
        <w:rPr>
          <w:sz w:val="20"/>
        </w:rPr>
        <w:t>o</w:t>
      </w:r>
      <w:r w:rsidR="00A25CCB">
        <w:rPr>
          <w:sz w:val="20"/>
        </w:rPr>
        <w:t xml:space="preserve">wave-assisted technology (DGT 100 plus, </w:t>
      </w:r>
      <w:proofErr w:type="spellStart"/>
      <w:r w:rsidR="00A25CCB">
        <w:rPr>
          <w:sz w:val="20"/>
        </w:rPr>
        <w:t>Provecto</w:t>
      </w:r>
      <w:proofErr w:type="spellEnd"/>
      <w:r w:rsidR="00A25CCB">
        <w:rPr>
          <w:sz w:val="20"/>
        </w:rPr>
        <w:t xml:space="preserve"> </w:t>
      </w:r>
      <w:proofErr w:type="spellStart"/>
      <w:r w:rsidR="00A25CCB">
        <w:rPr>
          <w:sz w:val="20"/>
        </w:rPr>
        <w:t>Analitica</w:t>
      </w:r>
      <w:proofErr w:type="spellEnd"/>
      <w:r w:rsidR="00A25CCB">
        <w:rPr>
          <w:sz w:val="20"/>
        </w:rPr>
        <w:t xml:space="preserve">) </w:t>
      </w:r>
      <w:r>
        <w:rPr>
          <w:sz w:val="20"/>
        </w:rPr>
        <w:t>using</w:t>
      </w:r>
      <w:r w:rsidR="00A25CCB">
        <w:rPr>
          <w:sz w:val="20"/>
        </w:rPr>
        <w:t xml:space="preserve"> an acid mixture (3 HNO</w:t>
      </w:r>
      <w:r w:rsidR="00A25CCB">
        <w:rPr>
          <w:sz w:val="20"/>
          <w:vertAlign w:val="subscript"/>
        </w:rPr>
        <w:t>3 (conc.)</w:t>
      </w:r>
      <w:r w:rsidR="00A25CCB">
        <w:rPr>
          <w:sz w:val="20"/>
        </w:rPr>
        <w:t xml:space="preserve">:1.5 </w:t>
      </w:r>
      <w:proofErr w:type="gramStart"/>
      <w:r w:rsidR="00A25CCB">
        <w:rPr>
          <w:sz w:val="20"/>
        </w:rPr>
        <w:t>HF</w:t>
      </w:r>
      <w:r w:rsidR="00A25CCB">
        <w:rPr>
          <w:sz w:val="20"/>
          <w:vertAlign w:val="subscript"/>
        </w:rPr>
        <w:t>(</w:t>
      </w:r>
      <w:proofErr w:type="gramEnd"/>
      <w:r w:rsidR="00A25CCB">
        <w:rPr>
          <w:sz w:val="20"/>
          <w:vertAlign w:val="subscript"/>
        </w:rPr>
        <w:t>conc.)</w:t>
      </w:r>
      <w:r w:rsidR="00A25CCB">
        <w:rPr>
          <w:sz w:val="20"/>
        </w:rPr>
        <w:t xml:space="preserve">). </w:t>
      </w:r>
      <w:r w:rsidR="001A4744">
        <w:rPr>
          <w:sz w:val="20"/>
        </w:rPr>
        <w:t>The</w:t>
      </w:r>
      <w:r w:rsidR="001A4744" w:rsidRPr="001A4744">
        <w:rPr>
          <w:sz w:val="20"/>
        </w:rPr>
        <w:t xml:space="preserve"> ICP-MS an</w:t>
      </w:r>
      <w:r w:rsidR="001A4744" w:rsidRPr="001A4744">
        <w:rPr>
          <w:sz w:val="20"/>
        </w:rPr>
        <w:t>a</w:t>
      </w:r>
      <w:r w:rsidR="001A4744" w:rsidRPr="001A4744">
        <w:rPr>
          <w:sz w:val="20"/>
        </w:rPr>
        <w:t xml:space="preserve">lytical program was obtained after the dilution of each mono-element </w:t>
      </w:r>
      <w:proofErr w:type="spellStart"/>
      <w:r w:rsidR="001A4744" w:rsidRPr="001A4744">
        <w:rPr>
          <w:sz w:val="20"/>
        </w:rPr>
        <w:t>Spex</w:t>
      </w:r>
      <w:proofErr w:type="spellEnd"/>
      <w:r w:rsidR="001A4744" w:rsidRPr="001A4744">
        <w:rPr>
          <w:sz w:val="20"/>
          <w:vertAlign w:val="superscript"/>
        </w:rPr>
        <w:sym w:font="Symbol" w:char="F0D2"/>
      </w:r>
      <w:r w:rsidR="001A4744" w:rsidRPr="001A4744">
        <w:rPr>
          <w:sz w:val="20"/>
        </w:rPr>
        <w:t xml:space="preserve"> stock solution, covering the concentration range from 0.5 </w:t>
      </w:r>
      <w:proofErr w:type="gramStart"/>
      <w:r w:rsidR="001A4744" w:rsidRPr="001A4744">
        <w:rPr>
          <w:sz w:val="20"/>
        </w:rPr>
        <w:t xml:space="preserve">to 50 </w:t>
      </w:r>
      <w:proofErr w:type="spellStart"/>
      <w:r w:rsidR="001A4744" w:rsidRPr="001A4744">
        <w:rPr>
          <w:sz w:val="20"/>
        </w:rPr>
        <w:t>ug</w:t>
      </w:r>
      <w:proofErr w:type="spellEnd"/>
      <w:r w:rsidR="001A4744" w:rsidRPr="001A4744">
        <w:rPr>
          <w:sz w:val="20"/>
        </w:rPr>
        <w:t xml:space="preserve">/L to </w:t>
      </w:r>
      <w:proofErr w:type="spellStart"/>
      <w:r w:rsidR="001A4744" w:rsidRPr="001A4744">
        <w:rPr>
          <w:sz w:val="20"/>
        </w:rPr>
        <w:t>Th</w:t>
      </w:r>
      <w:proofErr w:type="spellEnd"/>
      <w:r w:rsidR="001A4744" w:rsidRPr="001A4744">
        <w:rPr>
          <w:sz w:val="20"/>
        </w:rPr>
        <w:t xml:space="preserve"> and U,</w:t>
      </w:r>
      <w:proofErr w:type="gramEnd"/>
      <w:r w:rsidR="001A4744" w:rsidRPr="001A4744">
        <w:rPr>
          <w:sz w:val="20"/>
        </w:rPr>
        <w:t xml:space="preserve"> or 10 to 100 </w:t>
      </w:r>
      <w:proofErr w:type="spellStart"/>
      <w:r w:rsidR="001A4744" w:rsidRPr="001A4744">
        <w:rPr>
          <w:sz w:val="20"/>
        </w:rPr>
        <w:t>ug</w:t>
      </w:r>
      <w:proofErr w:type="spellEnd"/>
      <w:r w:rsidR="001A4744" w:rsidRPr="001A4744">
        <w:rPr>
          <w:sz w:val="20"/>
        </w:rPr>
        <w:t>/ml for K. A series of four GSJ (Ge</w:t>
      </w:r>
      <w:r w:rsidR="001A4744" w:rsidRPr="001A4744">
        <w:rPr>
          <w:sz w:val="20"/>
        </w:rPr>
        <w:t>o</w:t>
      </w:r>
      <w:r w:rsidR="001A4744" w:rsidRPr="001A4744">
        <w:rPr>
          <w:sz w:val="20"/>
        </w:rPr>
        <w:t>logical Society of Japan) certified reference materials (JG1a, JA-3, JB2 and JB-3) and one soil certified reference material (IAEA Soil 7) were also analyzed to check analytical method perfo</w:t>
      </w:r>
      <w:r w:rsidR="001A4744" w:rsidRPr="001A4744">
        <w:rPr>
          <w:sz w:val="20"/>
        </w:rPr>
        <w:t>r</w:t>
      </w:r>
      <w:r w:rsidR="001A4744" w:rsidRPr="001A4744">
        <w:rPr>
          <w:sz w:val="20"/>
        </w:rPr>
        <w:t>mance</w:t>
      </w:r>
      <w:r w:rsidR="001A4744">
        <w:t xml:space="preserve">. </w:t>
      </w:r>
    </w:p>
    <w:p w:rsidR="00E55DF1" w:rsidRDefault="00E55DF1" w:rsidP="00F64DC3">
      <w:pPr>
        <w:ind w:firstLine="289"/>
        <w:jc w:val="both"/>
        <w:rPr>
          <w:sz w:val="20"/>
        </w:rPr>
      </w:pPr>
      <w:r>
        <w:rPr>
          <w:sz w:val="20"/>
        </w:rPr>
        <w:t xml:space="preserve">The </w:t>
      </w:r>
      <w:r w:rsidR="001E3DAA">
        <w:rPr>
          <w:sz w:val="20"/>
        </w:rPr>
        <w:t>age</w:t>
      </w:r>
      <w:r w:rsidR="00252F97">
        <w:rPr>
          <w:sz w:val="20"/>
        </w:rPr>
        <w:t>s</w:t>
      </w:r>
      <w:r w:rsidR="001E3DAA">
        <w:rPr>
          <w:sz w:val="20"/>
        </w:rPr>
        <w:t xml:space="preserve"> </w:t>
      </w:r>
      <w:r>
        <w:rPr>
          <w:sz w:val="20"/>
        </w:rPr>
        <w:t xml:space="preserve">obtained </w:t>
      </w:r>
      <w:r w:rsidR="004E5C22">
        <w:rPr>
          <w:sz w:val="20"/>
        </w:rPr>
        <w:t xml:space="preserve">for Ponta </w:t>
      </w:r>
      <w:proofErr w:type="spellStart"/>
      <w:r w:rsidR="004E5C22">
        <w:rPr>
          <w:sz w:val="20"/>
        </w:rPr>
        <w:t>da</w:t>
      </w:r>
      <w:proofErr w:type="spellEnd"/>
      <w:r w:rsidR="004E5C22">
        <w:rPr>
          <w:sz w:val="20"/>
        </w:rPr>
        <w:t xml:space="preserve"> </w:t>
      </w:r>
      <w:proofErr w:type="spellStart"/>
      <w:r w:rsidR="004E5C22">
        <w:rPr>
          <w:sz w:val="20"/>
        </w:rPr>
        <w:t>Vigia</w:t>
      </w:r>
      <w:proofErr w:type="spellEnd"/>
      <w:r w:rsidR="004E5C22">
        <w:rPr>
          <w:sz w:val="20"/>
        </w:rPr>
        <w:t xml:space="preserve"> </w:t>
      </w:r>
      <w:r w:rsidR="00252F97">
        <w:rPr>
          <w:sz w:val="20"/>
        </w:rPr>
        <w:t xml:space="preserve">samples </w:t>
      </w:r>
      <w:r>
        <w:rPr>
          <w:sz w:val="20"/>
        </w:rPr>
        <w:t>are presented on Table 1.</w:t>
      </w:r>
    </w:p>
    <w:p w:rsidR="004E5C22" w:rsidRDefault="004E5C22" w:rsidP="00F64DC3">
      <w:pPr>
        <w:ind w:firstLine="289"/>
        <w:jc w:val="both"/>
        <w:rPr>
          <w:sz w:val="20"/>
        </w:rPr>
      </w:pPr>
    </w:p>
    <w:p w:rsidR="00B87382" w:rsidRDefault="004E5C22" w:rsidP="00F64DC3">
      <w:pPr>
        <w:ind w:firstLine="289"/>
        <w:jc w:val="both"/>
        <w:rPr>
          <w:bCs/>
          <w:sz w:val="20"/>
          <w:lang w:val="en-GB"/>
        </w:rPr>
      </w:pPr>
      <w:r>
        <w:rPr>
          <w:b/>
          <w:sz w:val="20"/>
        </w:rPr>
        <w:t>Results</w:t>
      </w:r>
      <w:r w:rsidRPr="009B23D3">
        <w:rPr>
          <w:b/>
          <w:sz w:val="20"/>
        </w:rPr>
        <w:t>:</w:t>
      </w:r>
      <w:r>
        <w:rPr>
          <w:b/>
          <w:sz w:val="20"/>
        </w:rPr>
        <w:t xml:space="preserve"> </w:t>
      </w:r>
      <w:r w:rsidR="00F64DC3" w:rsidRPr="00F64DC3">
        <w:rPr>
          <w:sz w:val="20"/>
        </w:rPr>
        <w:t xml:space="preserve">From </w:t>
      </w:r>
      <w:r>
        <w:rPr>
          <w:sz w:val="20"/>
        </w:rPr>
        <w:t xml:space="preserve">CA </w:t>
      </w:r>
      <w:proofErr w:type="gramStart"/>
      <w:r w:rsidR="00252F97">
        <w:rPr>
          <w:sz w:val="20"/>
        </w:rPr>
        <w:t xml:space="preserve">site </w:t>
      </w:r>
      <w:r w:rsidR="00F64DC3" w:rsidRPr="00F64DC3">
        <w:rPr>
          <w:sz w:val="20"/>
        </w:rPr>
        <w:t xml:space="preserve"> 3</w:t>
      </w:r>
      <w:proofErr w:type="gramEnd"/>
      <w:r w:rsidR="00F64DC3" w:rsidRPr="00F64DC3">
        <w:rPr>
          <w:sz w:val="20"/>
        </w:rPr>
        <w:t xml:space="preserve"> shells samples were collected besides sediment. Smaller shells were crushed and sieved for TL and EPR analysis. Accumulated doses (</w:t>
      </w:r>
      <w:proofErr w:type="spellStart"/>
      <w:r w:rsidR="00F64DC3" w:rsidRPr="00F64DC3">
        <w:rPr>
          <w:sz w:val="20"/>
        </w:rPr>
        <w:t>Dac</w:t>
      </w:r>
      <w:proofErr w:type="spellEnd"/>
      <w:r w:rsidR="00F64DC3" w:rsidRPr="00F64DC3">
        <w:rPr>
          <w:sz w:val="20"/>
        </w:rPr>
        <w:t xml:space="preserve">) obtained were: </w:t>
      </w:r>
      <w:proofErr w:type="spellStart"/>
      <w:r w:rsidR="00F64DC3" w:rsidRPr="00F64DC3">
        <w:rPr>
          <w:sz w:val="20"/>
        </w:rPr>
        <w:t>Dac</w:t>
      </w:r>
      <w:proofErr w:type="spellEnd"/>
      <w:r w:rsidR="00F64DC3" w:rsidRPr="00F64DC3">
        <w:rPr>
          <w:sz w:val="20"/>
        </w:rPr>
        <w:t xml:space="preserve"> (TL)</w:t>
      </w:r>
      <w:r>
        <w:rPr>
          <w:sz w:val="20"/>
        </w:rPr>
        <w:t xml:space="preserve"> </w:t>
      </w:r>
      <w:r w:rsidR="00F64DC3" w:rsidRPr="00F64DC3">
        <w:rPr>
          <w:sz w:val="20"/>
        </w:rPr>
        <w:t>=</w:t>
      </w:r>
      <w:r>
        <w:rPr>
          <w:sz w:val="20"/>
        </w:rPr>
        <w:t xml:space="preserve"> </w:t>
      </w:r>
      <w:r w:rsidR="00F64DC3" w:rsidRPr="00F64DC3">
        <w:rPr>
          <w:sz w:val="20"/>
        </w:rPr>
        <w:t xml:space="preserve">36.46±0.31 </w:t>
      </w:r>
      <w:proofErr w:type="spellStart"/>
      <w:r w:rsidR="00F64DC3" w:rsidRPr="00F64DC3">
        <w:rPr>
          <w:sz w:val="20"/>
        </w:rPr>
        <w:t>Gy</w:t>
      </w:r>
      <w:proofErr w:type="spellEnd"/>
      <w:r w:rsidR="00F64DC3" w:rsidRPr="00F64DC3">
        <w:rPr>
          <w:sz w:val="20"/>
        </w:rPr>
        <w:t xml:space="preserve">, </w:t>
      </w:r>
      <w:proofErr w:type="spellStart"/>
      <w:proofErr w:type="gramStart"/>
      <w:r w:rsidR="00F64DC3" w:rsidRPr="00F64DC3">
        <w:rPr>
          <w:sz w:val="20"/>
        </w:rPr>
        <w:t>Dac</w:t>
      </w:r>
      <w:proofErr w:type="spellEnd"/>
      <w:r w:rsidR="00F64DC3" w:rsidRPr="00F64DC3">
        <w:rPr>
          <w:sz w:val="20"/>
        </w:rPr>
        <w:t>(</w:t>
      </w:r>
      <w:proofErr w:type="gramEnd"/>
      <w:r w:rsidR="00F64DC3" w:rsidRPr="00F64DC3">
        <w:rPr>
          <w:sz w:val="20"/>
        </w:rPr>
        <w:t>EPR)</w:t>
      </w:r>
      <w:r>
        <w:rPr>
          <w:sz w:val="20"/>
        </w:rPr>
        <w:t xml:space="preserve"> </w:t>
      </w:r>
      <w:r w:rsidR="00F64DC3" w:rsidRPr="00F64DC3">
        <w:rPr>
          <w:sz w:val="20"/>
        </w:rPr>
        <w:t>=</w:t>
      </w:r>
      <w:r>
        <w:rPr>
          <w:sz w:val="20"/>
        </w:rPr>
        <w:t xml:space="preserve"> </w:t>
      </w:r>
      <w:r w:rsidR="00F64DC3" w:rsidRPr="00F64DC3">
        <w:rPr>
          <w:sz w:val="20"/>
        </w:rPr>
        <w:t xml:space="preserve">34±0.30 </w:t>
      </w:r>
      <w:proofErr w:type="spellStart"/>
      <w:r w:rsidR="00F64DC3" w:rsidRPr="00F64DC3">
        <w:rPr>
          <w:sz w:val="20"/>
        </w:rPr>
        <w:t>Gy</w:t>
      </w:r>
      <w:proofErr w:type="spellEnd"/>
      <w:r w:rsidR="00F64DC3" w:rsidRPr="00F64DC3">
        <w:rPr>
          <w:sz w:val="20"/>
        </w:rPr>
        <w:t xml:space="preserve">. ICP-MS measurements enable annual dose as 8.34±0.05 </w:t>
      </w:r>
      <w:proofErr w:type="spellStart"/>
      <w:r w:rsidR="00F64DC3" w:rsidRPr="00F64DC3">
        <w:rPr>
          <w:sz w:val="20"/>
        </w:rPr>
        <w:t>mGy</w:t>
      </w:r>
      <w:proofErr w:type="spellEnd"/>
      <w:r w:rsidR="00F64DC3" w:rsidRPr="00F64DC3">
        <w:rPr>
          <w:sz w:val="20"/>
        </w:rPr>
        <w:t xml:space="preserve">/year. Cosmic rays </w:t>
      </w:r>
      <w:r>
        <w:rPr>
          <w:sz w:val="20"/>
        </w:rPr>
        <w:t>co</w:t>
      </w:r>
      <w:r>
        <w:rPr>
          <w:sz w:val="20"/>
        </w:rPr>
        <w:t>n</w:t>
      </w:r>
      <w:r>
        <w:rPr>
          <w:sz w:val="20"/>
        </w:rPr>
        <w:t xml:space="preserve">tribution to Dan was </w:t>
      </w:r>
      <w:proofErr w:type="gramStart"/>
      <w:r w:rsidR="00F64DC3" w:rsidRPr="00F64DC3">
        <w:rPr>
          <w:sz w:val="20"/>
        </w:rPr>
        <w:t xml:space="preserve">0.015 </w:t>
      </w:r>
      <w:proofErr w:type="spellStart"/>
      <w:r w:rsidR="00F64DC3" w:rsidRPr="00F64DC3">
        <w:rPr>
          <w:sz w:val="20"/>
        </w:rPr>
        <w:t>mGy</w:t>
      </w:r>
      <w:proofErr w:type="spellEnd"/>
      <w:r w:rsidR="00F64DC3" w:rsidRPr="00F64DC3">
        <w:rPr>
          <w:sz w:val="20"/>
        </w:rPr>
        <w:t>/year</w:t>
      </w:r>
      <w:proofErr w:type="gramEnd"/>
      <w:r w:rsidR="00F64DC3" w:rsidRPr="00F64DC3">
        <w:rPr>
          <w:sz w:val="20"/>
        </w:rPr>
        <w:t xml:space="preserve">. Ages </w:t>
      </w:r>
      <w:r>
        <w:rPr>
          <w:sz w:val="20"/>
        </w:rPr>
        <w:t xml:space="preserve">calculated </w:t>
      </w:r>
      <w:r w:rsidR="00F64DC3" w:rsidRPr="00F64DC3">
        <w:rPr>
          <w:sz w:val="20"/>
        </w:rPr>
        <w:t>were 4360.7±0.4 B. P. (TL) and 4073±0.3 B. P. (EPR).</w:t>
      </w:r>
      <w:r w:rsidR="00876940">
        <w:rPr>
          <w:bCs/>
          <w:sz w:val="20"/>
          <w:lang w:val="en-GB"/>
        </w:rPr>
        <w:t xml:space="preserve"> </w:t>
      </w:r>
    </w:p>
    <w:p w:rsidR="00B87382" w:rsidRDefault="00B87382">
      <w:pPr>
        <w:autoSpaceDE w:val="0"/>
        <w:jc w:val="both"/>
        <w:rPr>
          <w:sz w:val="20"/>
          <w:lang w:val="en-GB"/>
        </w:rPr>
      </w:pPr>
    </w:p>
    <w:p w:rsidR="00B87382" w:rsidRDefault="00876940">
      <w:pPr>
        <w:pStyle w:val="14TableTitle"/>
        <w:spacing w:after="0" w:line="240" w:lineRule="auto"/>
        <w:rPr>
          <w:b/>
          <w:i/>
          <w:sz w:val="21"/>
          <w:szCs w:val="21"/>
        </w:rPr>
      </w:pPr>
      <w:r>
        <w:rPr>
          <w:rStyle w:val="11InlineHeading"/>
          <w:rFonts w:cs="Times New Roman"/>
          <w:b w:val="0"/>
          <w:sz w:val="20"/>
        </w:rPr>
        <w:t>Table 1:</w:t>
      </w:r>
      <w:r>
        <w:rPr>
          <w:sz w:val="20"/>
        </w:rPr>
        <w:t xml:space="preserve"> </w:t>
      </w:r>
      <w:r w:rsidR="004E5C22">
        <w:rPr>
          <w:sz w:val="20"/>
        </w:rPr>
        <w:t xml:space="preserve">PV </w:t>
      </w:r>
      <w:proofErr w:type="spellStart"/>
      <w:r w:rsidR="004E5C22">
        <w:rPr>
          <w:sz w:val="20"/>
        </w:rPr>
        <w:t>Shellmound</w:t>
      </w:r>
      <w:proofErr w:type="spellEnd"/>
      <w:r w:rsidR="001E3DAA">
        <w:rPr>
          <w:sz w:val="20"/>
        </w:rPr>
        <w:t xml:space="preserve"> Age</w:t>
      </w:r>
      <w:r w:rsidR="004E5C22">
        <w:rPr>
          <w:sz w:val="20"/>
        </w:rPr>
        <w:t xml:space="preserve"> (years B. P. - Before Present)</w:t>
      </w:r>
    </w:p>
    <w:tbl>
      <w:tblPr>
        <w:tblW w:w="0" w:type="auto"/>
        <w:tblInd w:w="5" w:type="dxa"/>
        <w:tblLayout w:type="fixed"/>
        <w:tblCellMar>
          <w:left w:w="0" w:type="dxa"/>
          <w:right w:w="0" w:type="dxa"/>
        </w:tblCellMar>
        <w:tblLook w:val="0000"/>
      </w:tblPr>
      <w:tblGrid>
        <w:gridCol w:w="1507"/>
        <w:gridCol w:w="1507"/>
        <w:gridCol w:w="1507"/>
        <w:gridCol w:w="1507"/>
      </w:tblGrid>
      <w:tr w:rsidR="004E5C22" w:rsidTr="00F639CB">
        <w:trPr>
          <w:trHeight w:val="260"/>
        </w:trPr>
        <w:tc>
          <w:tcPr>
            <w:tcW w:w="1507" w:type="dxa"/>
            <w:tcBorders>
              <w:top w:val="single" w:sz="4" w:space="0" w:color="000000"/>
              <w:bottom w:val="single" w:sz="4" w:space="0" w:color="000000"/>
            </w:tcBorders>
          </w:tcPr>
          <w:p w:rsidR="004E5C22" w:rsidRDefault="004E5C22">
            <w:pPr>
              <w:pStyle w:val="15TableBody"/>
              <w:autoSpaceDE w:val="0"/>
              <w:snapToGrid w:val="0"/>
              <w:spacing w:line="240" w:lineRule="auto"/>
              <w:jc w:val="center"/>
              <w:rPr>
                <w:b/>
                <w:i/>
                <w:sz w:val="21"/>
                <w:szCs w:val="21"/>
              </w:rPr>
            </w:pPr>
            <w:r>
              <w:rPr>
                <w:b/>
                <w:i/>
                <w:sz w:val="21"/>
                <w:szCs w:val="21"/>
              </w:rPr>
              <w:t>Sample</w:t>
            </w:r>
          </w:p>
        </w:tc>
        <w:tc>
          <w:tcPr>
            <w:tcW w:w="1507" w:type="dxa"/>
            <w:tcBorders>
              <w:top w:val="single" w:sz="4" w:space="0" w:color="000000"/>
              <w:bottom w:val="single" w:sz="4" w:space="0" w:color="000000"/>
            </w:tcBorders>
            <w:shd w:val="clear" w:color="auto" w:fill="auto"/>
          </w:tcPr>
          <w:p w:rsidR="004E5C22" w:rsidRDefault="004E5C22">
            <w:pPr>
              <w:pStyle w:val="15TableBody"/>
              <w:autoSpaceDE w:val="0"/>
              <w:snapToGrid w:val="0"/>
              <w:spacing w:line="240" w:lineRule="auto"/>
              <w:jc w:val="center"/>
              <w:rPr>
                <w:b/>
                <w:i/>
                <w:sz w:val="21"/>
                <w:szCs w:val="21"/>
              </w:rPr>
            </w:pPr>
            <w:r>
              <w:rPr>
                <w:b/>
                <w:i/>
                <w:sz w:val="21"/>
                <w:szCs w:val="21"/>
              </w:rPr>
              <w:t>T</w:t>
            </w:r>
          </w:p>
        </w:tc>
        <w:tc>
          <w:tcPr>
            <w:tcW w:w="1507" w:type="dxa"/>
            <w:tcBorders>
              <w:top w:val="single" w:sz="4" w:space="0" w:color="000000"/>
              <w:bottom w:val="single" w:sz="4" w:space="0" w:color="000000"/>
            </w:tcBorders>
            <w:shd w:val="clear" w:color="auto" w:fill="auto"/>
          </w:tcPr>
          <w:p w:rsidR="004E5C22" w:rsidRDefault="004E5C22">
            <w:pPr>
              <w:pStyle w:val="15TableBody"/>
              <w:autoSpaceDE w:val="0"/>
              <w:snapToGrid w:val="0"/>
              <w:spacing w:line="240" w:lineRule="auto"/>
              <w:jc w:val="center"/>
              <w:rPr>
                <w:b/>
                <w:i/>
                <w:sz w:val="21"/>
                <w:szCs w:val="21"/>
              </w:rPr>
            </w:pPr>
            <w:r>
              <w:rPr>
                <w:b/>
                <w:i/>
                <w:sz w:val="21"/>
                <w:szCs w:val="21"/>
              </w:rPr>
              <w:t>M</w:t>
            </w:r>
          </w:p>
        </w:tc>
        <w:tc>
          <w:tcPr>
            <w:tcW w:w="1507" w:type="dxa"/>
            <w:tcBorders>
              <w:top w:val="single" w:sz="4" w:space="0" w:color="000000"/>
              <w:bottom w:val="single" w:sz="4" w:space="0" w:color="000000"/>
            </w:tcBorders>
            <w:shd w:val="clear" w:color="auto" w:fill="auto"/>
          </w:tcPr>
          <w:p w:rsidR="004E5C22" w:rsidRDefault="004E5C22">
            <w:pPr>
              <w:pStyle w:val="15TableBody"/>
              <w:autoSpaceDE w:val="0"/>
              <w:snapToGrid w:val="0"/>
              <w:spacing w:line="240" w:lineRule="auto"/>
              <w:jc w:val="center"/>
            </w:pPr>
            <w:r>
              <w:rPr>
                <w:b/>
                <w:i/>
                <w:sz w:val="21"/>
                <w:szCs w:val="21"/>
              </w:rPr>
              <w:t>B</w:t>
            </w:r>
          </w:p>
        </w:tc>
      </w:tr>
      <w:tr w:rsidR="004E5C22" w:rsidTr="00F639CB">
        <w:trPr>
          <w:trHeight w:val="273"/>
        </w:trPr>
        <w:tc>
          <w:tcPr>
            <w:tcW w:w="1507" w:type="dxa"/>
            <w:tcBorders>
              <w:top w:val="single" w:sz="4" w:space="0" w:color="000000"/>
            </w:tcBorders>
          </w:tcPr>
          <w:p w:rsidR="004E5C22" w:rsidRDefault="004E5C22">
            <w:pPr>
              <w:pStyle w:val="15TableBody"/>
              <w:autoSpaceDE w:val="0"/>
              <w:snapToGrid w:val="0"/>
              <w:spacing w:line="240" w:lineRule="auto"/>
              <w:jc w:val="center"/>
              <w:rPr>
                <w:sz w:val="21"/>
                <w:szCs w:val="21"/>
              </w:rPr>
            </w:pPr>
            <w:r>
              <w:rPr>
                <w:sz w:val="21"/>
                <w:szCs w:val="21"/>
              </w:rPr>
              <w:t>TL</w:t>
            </w:r>
          </w:p>
        </w:tc>
        <w:tc>
          <w:tcPr>
            <w:tcW w:w="1507" w:type="dxa"/>
            <w:tcBorders>
              <w:top w:val="single" w:sz="4" w:space="0" w:color="000000"/>
            </w:tcBorders>
            <w:shd w:val="clear" w:color="auto" w:fill="auto"/>
          </w:tcPr>
          <w:p w:rsidR="004E5C22" w:rsidRDefault="004E5C22" w:rsidP="004E5C22">
            <w:pPr>
              <w:pStyle w:val="15TableBody"/>
              <w:autoSpaceDE w:val="0"/>
              <w:snapToGrid w:val="0"/>
              <w:spacing w:line="240" w:lineRule="auto"/>
              <w:jc w:val="center"/>
              <w:rPr>
                <w:sz w:val="21"/>
                <w:szCs w:val="21"/>
              </w:rPr>
            </w:pPr>
            <w:r w:rsidRPr="004E5C22">
              <w:rPr>
                <w:sz w:val="21"/>
                <w:szCs w:val="21"/>
              </w:rPr>
              <w:t xml:space="preserve">4.89 ± 0.51 </w:t>
            </w:r>
          </w:p>
        </w:tc>
        <w:tc>
          <w:tcPr>
            <w:tcW w:w="1507" w:type="dxa"/>
            <w:tcBorders>
              <w:top w:val="single" w:sz="4" w:space="0" w:color="000000"/>
            </w:tcBorders>
            <w:shd w:val="clear" w:color="auto" w:fill="auto"/>
          </w:tcPr>
          <w:p w:rsidR="004E5C22" w:rsidRDefault="004E5C22">
            <w:pPr>
              <w:pStyle w:val="15TableBody"/>
              <w:autoSpaceDE w:val="0"/>
              <w:snapToGrid w:val="0"/>
              <w:spacing w:line="240" w:lineRule="auto"/>
              <w:jc w:val="center"/>
              <w:rPr>
                <w:sz w:val="21"/>
                <w:szCs w:val="21"/>
              </w:rPr>
            </w:pPr>
            <w:r w:rsidRPr="004E5C22">
              <w:rPr>
                <w:sz w:val="21"/>
                <w:szCs w:val="21"/>
              </w:rPr>
              <w:t>5.86 ± 0.55</w:t>
            </w:r>
          </w:p>
        </w:tc>
        <w:tc>
          <w:tcPr>
            <w:tcW w:w="1507" w:type="dxa"/>
            <w:tcBorders>
              <w:top w:val="single" w:sz="4" w:space="0" w:color="000000"/>
            </w:tcBorders>
            <w:shd w:val="clear" w:color="auto" w:fill="auto"/>
          </w:tcPr>
          <w:p w:rsidR="004E5C22" w:rsidRDefault="004E5C22">
            <w:pPr>
              <w:pStyle w:val="15TableBody"/>
              <w:autoSpaceDE w:val="0"/>
              <w:snapToGrid w:val="0"/>
              <w:spacing w:line="240" w:lineRule="auto"/>
              <w:jc w:val="center"/>
            </w:pPr>
            <w:r w:rsidRPr="004E5C22">
              <w:rPr>
                <w:sz w:val="21"/>
                <w:szCs w:val="21"/>
              </w:rPr>
              <w:t>7.01 ± 0.65</w:t>
            </w:r>
          </w:p>
        </w:tc>
      </w:tr>
      <w:tr w:rsidR="004E5C22" w:rsidTr="004E5C22">
        <w:trPr>
          <w:trHeight w:val="286"/>
        </w:trPr>
        <w:tc>
          <w:tcPr>
            <w:tcW w:w="1507" w:type="dxa"/>
          </w:tcPr>
          <w:p w:rsidR="004E5C22" w:rsidRDefault="004E5C22">
            <w:pPr>
              <w:pStyle w:val="15TableBody"/>
              <w:autoSpaceDE w:val="0"/>
              <w:snapToGrid w:val="0"/>
              <w:spacing w:line="240" w:lineRule="auto"/>
              <w:jc w:val="center"/>
              <w:rPr>
                <w:sz w:val="21"/>
                <w:szCs w:val="21"/>
              </w:rPr>
            </w:pPr>
            <w:r>
              <w:rPr>
                <w:sz w:val="21"/>
                <w:szCs w:val="21"/>
              </w:rPr>
              <w:t>EPR</w:t>
            </w:r>
          </w:p>
        </w:tc>
        <w:tc>
          <w:tcPr>
            <w:tcW w:w="1507" w:type="dxa"/>
            <w:shd w:val="clear" w:color="auto" w:fill="auto"/>
          </w:tcPr>
          <w:p w:rsidR="004E5C22" w:rsidRDefault="004E5C22" w:rsidP="004E5C22">
            <w:pPr>
              <w:pStyle w:val="15TableBody"/>
              <w:autoSpaceDE w:val="0"/>
              <w:snapToGrid w:val="0"/>
              <w:spacing w:line="240" w:lineRule="auto"/>
              <w:jc w:val="center"/>
              <w:rPr>
                <w:sz w:val="21"/>
                <w:szCs w:val="21"/>
              </w:rPr>
            </w:pPr>
            <w:r w:rsidRPr="004E5C22">
              <w:rPr>
                <w:sz w:val="21"/>
                <w:szCs w:val="21"/>
              </w:rPr>
              <w:t xml:space="preserve">5.11 ± 0.55 </w:t>
            </w:r>
          </w:p>
        </w:tc>
        <w:tc>
          <w:tcPr>
            <w:tcW w:w="1507" w:type="dxa"/>
            <w:shd w:val="clear" w:color="auto" w:fill="auto"/>
          </w:tcPr>
          <w:p w:rsidR="004E5C22" w:rsidRDefault="004E5C22">
            <w:pPr>
              <w:pStyle w:val="15TableBody"/>
              <w:autoSpaceDE w:val="0"/>
              <w:snapToGrid w:val="0"/>
              <w:spacing w:line="240" w:lineRule="auto"/>
              <w:jc w:val="center"/>
              <w:rPr>
                <w:sz w:val="21"/>
                <w:szCs w:val="21"/>
              </w:rPr>
            </w:pPr>
            <w:r w:rsidRPr="004E5C22">
              <w:rPr>
                <w:sz w:val="21"/>
                <w:szCs w:val="21"/>
              </w:rPr>
              <w:t>5.29 ± 0.51</w:t>
            </w:r>
          </w:p>
        </w:tc>
        <w:tc>
          <w:tcPr>
            <w:tcW w:w="1507" w:type="dxa"/>
            <w:shd w:val="clear" w:color="auto" w:fill="auto"/>
          </w:tcPr>
          <w:p w:rsidR="004E5C22" w:rsidRDefault="004E5C22">
            <w:pPr>
              <w:pStyle w:val="15TableBody"/>
              <w:autoSpaceDE w:val="0"/>
              <w:snapToGrid w:val="0"/>
              <w:spacing w:line="240" w:lineRule="auto"/>
              <w:jc w:val="center"/>
            </w:pPr>
          </w:p>
        </w:tc>
      </w:tr>
      <w:tr w:rsidR="004E5C22" w:rsidTr="00F639CB">
        <w:trPr>
          <w:trHeight w:val="286"/>
        </w:trPr>
        <w:tc>
          <w:tcPr>
            <w:tcW w:w="1507" w:type="dxa"/>
            <w:tcBorders>
              <w:bottom w:val="single" w:sz="4" w:space="0" w:color="000000"/>
            </w:tcBorders>
          </w:tcPr>
          <w:p w:rsidR="004E5C22" w:rsidRDefault="004E5C22">
            <w:pPr>
              <w:pStyle w:val="15TableBody"/>
              <w:autoSpaceDE w:val="0"/>
              <w:snapToGrid w:val="0"/>
              <w:spacing w:line="240" w:lineRule="auto"/>
              <w:jc w:val="center"/>
              <w:rPr>
                <w:sz w:val="21"/>
                <w:szCs w:val="21"/>
              </w:rPr>
            </w:pPr>
            <w:r>
              <w:rPr>
                <w:sz w:val="21"/>
                <w:szCs w:val="21"/>
              </w:rPr>
              <w:t>OSL</w:t>
            </w:r>
          </w:p>
        </w:tc>
        <w:tc>
          <w:tcPr>
            <w:tcW w:w="1507" w:type="dxa"/>
            <w:tcBorders>
              <w:bottom w:val="single" w:sz="4" w:space="0" w:color="000000"/>
            </w:tcBorders>
            <w:shd w:val="clear" w:color="auto" w:fill="auto"/>
          </w:tcPr>
          <w:p w:rsidR="004E5C22" w:rsidRDefault="004E5C22" w:rsidP="004E5C22">
            <w:pPr>
              <w:pStyle w:val="15TableBody"/>
              <w:autoSpaceDE w:val="0"/>
              <w:snapToGrid w:val="0"/>
              <w:spacing w:line="240" w:lineRule="auto"/>
              <w:jc w:val="center"/>
              <w:rPr>
                <w:sz w:val="21"/>
                <w:szCs w:val="21"/>
              </w:rPr>
            </w:pPr>
            <w:r w:rsidRPr="004E5C22">
              <w:rPr>
                <w:sz w:val="21"/>
                <w:szCs w:val="21"/>
              </w:rPr>
              <w:t>4.21 ± 0.45</w:t>
            </w:r>
            <w:r>
              <w:rPr>
                <w:sz w:val="21"/>
                <w:szCs w:val="21"/>
              </w:rPr>
              <w:t xml:space="preserve"> </w:t>
            </w:r>
          </w:p>
        </w:tc>
        <w:tc>
          <w:tcPr>
            <w:tcW w:w="1507" w:type="dxa"/>
            <w:tcBorders>
              <w:bottom w:val="single" w:sz="4" w:space="0" w:color="000000"/>
            </w:tcBorders>
            <w:shd w:val="clear" w:color="auto" w:fill="auto"/>
          </w:tcPr>
          <w:p w:rsidR="004E5C22" w:rsidRDefault="004E5C22">
            <w:pPr>
              <w:pStyle w:val="15TableBody"/>
              <w:autoSpaceDE w:val="0"/>
              <w:snapToGrid w:val="0"/>
              <w:spacing w:line="240" w:lineRule="auto"/>
              <w:jc w:val="center"/>
              <w:rPr>
                <w:sz w:val="21"/>
                <w:szCs w:val="21"/>
              </w:rPr>
            </w:pPr>
          </w:p>
        </w:tc>
        <w:tc>
          <w:tcPr>
            <w:tcW w:w="1507" w:type="dxa"/>
            <w:tcBorders>
              <w:bottom w:val="single" w:sz="4" w:space="0" w:color="000000"/>
            </w:tcBorders>
            <w:shd w:val="clear" w:color="auto" w:fill="auto"/>
          </w:tcPr>
          <w:p w:rsidR="004E5C22" w:rsidRDefault="004E5C22">
            <w:pPr>
              <w:pStyle w:val="15TableBody"/>
              <w:autoSpaceDE w:val="0"/>
              <w:snapToGrid w:val="0"/>
              <w:spacing w:line="240" w:lineRule="auto"/>
              <w:jc w:val="center"/>
              <w:rPr>
                <w:sz w:val="21"/>
                <w:szCs w:val="21"/>
              </w:rPr>
            </w:pPr>
          </w:p>
        </w:tc>
      </w:tr>
    </w:tbl>
    <w:p w:rsidR="00B87382" w:rsidRDefault="00B87382">
      <w:pPr>
        <w:ind w:right="30" w:firstLine="284"/>
        <w:jc w:val="both"/>
        <w:rPr>
          <w:b/>
          <w:sz w:val="20"/>
          <w:lang w:val="en-GB"/>
        </w:rPr>
      </w:pPr>
    </w:p>
    <w:p w:rsidR="00B87382" w:rsidRDefault="00B87382">
      <w:pPr>
        <w:ind w:right="30" w:firstLine="284"/>
        <w:jc w:val="both"/>
        <w:rPr>
          <w:b/>
          <w:sz w:val="20"/>
          <w:lang w:val="en-GB"/>
        </w:rPr>
      </w:pPr>
    </w:p>
    <w:p w:rsidR="00B87382" w:rsidRDefault="00876940">
      <w:pPr>
        <w:ind w:right="30" w:firstLine="284"/>
        <w:jc w:val="both"/>
        <w:rPr>
          <w:sz w:val="20"/>
          <w:lang w:val="en-GB"/>
        </w:rPr>
      </w:pPr>
      <w:r>
        <w:rPr>
          <w:b/>
          <w:sz w:val="20"/>
          <w:lang w:val="en-GB"/>
        </w:rPr>
        <w:t>Reference:</w:t>
      </w:r>
      <w:r>
        <w:rPr>
          <w:sz w:val="20"/>
          <w:lang w:val="en-GB"/>
        </w:rPr>
        <w:t xml:space="preserve"> </w:t>
      </w:r>
    </w:p>
    <w:p w:rsidR="00C777E9" w:rsidRPr="00C777E9" w:rsidRDefault="00C777E9" w:rsidP="00C777E9">
      <w:pPr>
        <w:jc w:val="both"/>
        <w:rPr>
          <w:sz w:val="20"/>
          <w:lang w:val="en-GB"/>
        </w:rPr>
      </w:pPr>
      <w:proofErr w:type="spellStart"/>
      <w:r w:rsidRPr="00C777E9">
        <w:rPr>
          <w:sz w:val="20"/>
          <w:lang w:val="en-GB"/>
        </w:rPr>
        <w:t>Ikeya</w:t>
      </w:r>
      <w:proofErr w:type="spellEnd"/>
      <w:r w:rsidR="00EA43D3" w:rsidRPr="00EA43D3">
        <w:rPr>
          <w:sz w:val="20"/>
          <w:lang w:val="en-GB"/>
        </w:rPr>
        <w:t xml:space="preserve"> </w:t>
      </w:r>
      <w:r w:rsidR="00EA43D3" w:rsidRPr="00C777E9">
        <w:rPr>
          <w:sz w:val="20"/>
          <w:lang w:val="en-GB"/>
        </w:rPr>
        <w:t>M.</w:t>
      </w:r>
      <w:r w:rsidRPr="00C777E9">
        <w:rPr>
          <w:sz w:val="20"/>
          <w:lang w:val="en-GB"/>
        </w:rPr>
        <w:t xml:space="preserve">, New Applications of Electron Spin Resonance. </w:t>
      </w:r>
      <w:proofErr w:type="gramStart"/>
      <w:r w:rsidRPr="00C777E9">
        <w:rPr>
          <w:sz w:val="20"/>
          <w:lang w:val="en-GB"/>
        </w:rPr>
        <w:t>World Scientific, Singapore, 1993, p 285.</w:t>
      </w:r>
      <w:proofErr w:type="gramEnd"/>
    </w:p>
    <w:sectPr w:rsidR="00C777E9" w:rsidRPr="00C777E9" w:rsidSect="00B87382">
      <w:type w:val="continuous"/>
      <w:pgSz w:w="11906" w:h="16838"/>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67A" w:rsidRDefault="002D467A">
      <w:r>
        <w:separator/>
      </w:r>
    </w:p>
  </w:endnote>
  <w:endnote w:type="continuationSeparator" w:id="0">
    <w:p w:rsidR="002D467A" w:rsidRDefault="002D4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iberation Sans">
    <w:altName w:val="Arial"/>
    <w:charset w:val="01"/>
    <w:family w:val="swiss"/>
    <w:pitch w:val="default"/>
    <w:sig w:usb0="00000000" w:usb1="00000000" w:usb2="00000000" w:usb3="00000000" w:csb0="00000000" w:csb1="00000000"/>
  </w:font>
  <w:font w:name="Microsoft YaHei">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82" w:rsidRDefault="00B87382">
    <w:pPr>
      <w:pStyle w:val="Rodap"/>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82" w:rsidRDefault="00B8738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82" w:rsidRDefault="00B873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67A" w:rsidRDefault="002D467A">
      <w:r>
        <w:separator/>
      </w:r>
    </w:p>
  </w:footnote>
  <w:footnote w:type="continuationSeparator" w:id="0">
    <w:p w:rsidR="002D467A" w:rsidRDefault="002D4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82" w:rsidRDefault="00B87382">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82" w:rsidRDefault="00B8738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82" w:rsidRDefault="00B873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0D7A"/>
    <w:multiLevelType w:val="hybridMultilevel"/>
    <w:tmpl w:val="4A0AD5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20"/>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254F5"/>
    <w:rsid w:val="000702C3"/>
    <w:rsid w:val="001733A5"/>
    <w:rsid w:val="001A4744"/>
    <w:rsid w:val="001E3DAA"/>
    <w:rsid w:val="00252F97"/>
    <w:rsid w:val="002D467A"/>
    <w:rsid w:val="004E5C22"/>
    <w:rsid w:val="00876940"/>
    <w:rsid w:val="009208E0"/>
    <w:rsid w:val="009B23D3"/>
    <w:rsid w:val="00A254F5"/>
    <w:rsid w:val="00A25CCB"/>
    <w:rsid w:val="00B87382"/>
    <w:rsid w:val="00C777E9"/>
    <w:rsid w:val="00CD7A48"/>
    <w:rsid w:val="00D37EED"/>
    <w:rsid w:val="00E55DF1"/>
    <w:rsid w:val="00EA43D3"/>
    <w:rsid w:val="00F64DC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82"/>
    <w:rPr>
      <w:sz w:val="18"/>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B87382"/>
    <w:rPr>
      <w:b/>
    </w:rPr>
  </w:style>
  <w:style w:type="character" w:customStyle="1" w:styleId="WW8Num1z1">
    <w:name w:val="WW8Num1z1"/>
    <w:rsid w:val="00B87382"/>
  </w:style>
  <w:style w:type="character" w:customStyle="1" w:styleId="WW8Num1z2">
    <w:name w:val="WW8Num1z2"/>
    <w:rsid w:val="00B87382"/>
  </w:style>
  <w:style w:type="character" w:customStyle="1" w:styleId="WW8Num1z3">
    <w:name w:val="WW8Num1z3"/>
    <w:rsid w:val="00B87382"/>
  </w:style>
  <w:style w:type="character" w:customStyle="1" w:styleId="WW8Num1z4">
    <w:name w:val="WW8Num1z4"/>
    <w:rsid w:val="00B87382"/>
  </w:style>
  <w:style w:type="character" w:customStyle="1" w:styleId="WW8Num1z5">
    <w:name w:val="WW8Num1z5"/>
    <w:rsid w:val="00B87382"/>
  </w:style>
  <w:style w:type="character" w:customStyle="1" w:styleId="WW8Num1z6">
    <w:name w:val="WW8Num1z6"/>
    <w:rsid w:val="00B87382"/>
  </w:style>
  <w:style w:type="character" w:customStyle="1" w:styleId="WW8Num1z7">
    <w:name w:val="WW8Num1z7"/>
    <w:rsid w:val="00B87382"/>
  </w:style>
  <w:style w:type="character" w:customStyle="1" w:styleId="WW8Num1z8">
    <w:name w:val="WW8Num1z8"/>
    <w:rsid w:val="00B87382"/>
  </w:style>
  <w:style w:type="character" w:customStyle="1" w:styleId="WW8Num2z0">
    <w:name w:val="WW8Num2z0"/>
    <w:rsid w:val="00B87382"/>
    <w:rPr>
      <w:b/>
    </w:rPr>
  </w:style>
  <w:style w:type="character" w:customStyle="1" w:styleId="WW8Num2z1">
    <w:name w:val="WW8Num2z1"/>
    <w:rsid w:val="00B87382"/>
  </w:style>
  <w:style w:type="character" w:customStyle="1" w:styleId="WW8Num2z2">
    <w:name w:val="WW8Num2z2"/>
    <w:rsid w:val="00B87382"/>
  </w:style>
  <w:style w:type="character" w:customStyle="1" w:styleId="WW8Num2z3">
    <w:name w:val="WW8Num2z3"/>
    <w:rsid w:val="00B87382"/>
  </w:style>
  <w:style w:type="character" w:customStyle="1" w:styleId="WW8Num2z4">
    <w:name w:val="WW8Num2z4"/>
    <w:rsid w:val="00B87382"/>
  </w:style>
  <w:style w:type="character" w:customStyle="1" w:styleId="WW8Num2z5">
    <w:name w:val="WW8Num2z5"/>
    <w:rsid w:val="00B87382"/>
  </w:style>
  <w:style w:type="character" w:customStyle="1" w:styleId="WW8Num2z6">
    <w:name w:val="WW8Num2z6"/>
    <w:rsid w:val="00B87382"/>
  </w:style>
  <w:style w:type="character" w:customStyle="1" w:styleId="WW8Num2z7">
    <w:name w:val="WW8Num2z7"/>
    <w:rsid w:val="00B87382"/>
  </w:style>
  <w:style w:type="character" w:customStyle="1" w:styleId="WW8Num2z8">
    <w:name w:val="WW8Num2z8"/>
    <w:rsid w:val="00B87382"/>
  </w:style>
  <w:style w:type="character" w:customStyle="1" w:styleId="Fontepargpadro1">
    <w:name w:val="Fonte parág. padrão1"/>
    <w:rsid w:val="00B87382"/>
  </w:style>
  <w:style w:type="character" w:styleId="Hyperlink">
    <w:name w:val="Hyperlink"/>
    <w:basedOn w:val="Fontepargpadro1"/>
    <w:rsid w:val="00B87382"/>
    <w:rPr>
      <w:color w:val="0000FF"/>
      <w:u w:val="single"/>
    </w:rPr>
  </w:style>
  <w:style w:type="character" w:customStyle="1" w:styleId="CommentReference">
    <w:name w:val="Comment Reference"/>
    <w:basedOn w:val="Fontepargpadro1"/>
    <w:rsid w:val="00B87382"/>
    <w:rPr>
      <w:sz w:val="16"/>
      <w:szCs w:val="16"/>
    </w:rPr>
  </w:style>
  <w:style w:type="character" w:customStyle="1" w:styleId="11InlineHeading">
    <w:name w:val="11_Inline_Heading"/>
    <w:basedOn w:val="Fontepargpadro1"/>
    <w:rsid w:val="00B87382"/>
    <w:rPr>
      <w:rFonts w:ascii="Arial" w:hAnsi="Arial" w:cs="Arial"/>
      <w:b/>
      <w:lang w:val="en-GB"/>
    </w:rPr>
  </w:style>
  <w:style w:type="paragraph" w:customStyle="1" w:styleId="Titre">
    <w:name w:val="Titre"/>
    <w:basedOn w:val="Normal"/>
    <w:next w:val="Corpodetexto"/>
    <w:rsid w:val="00B87382"/>
    <w:pPr>
      <w:keepNext/>
      <w:spacing w:before="240" w:after="120"/>
    </w:pPr>
    <w:rPr>
      <w:rFonts w:ascii="Liberation Sans" w:eastAsia="Microsoft YaHei" w:hAnsi="Liberation Sans" w:cs="Mangal"/>
      <w:sz w:val="28"/>
      <w:szCs w:val="28"/>
    </w:rPr>
  </w:style>
  <w:style w:type="paragraph" w:styleId="Corpodetexto">
    <w:name w:val="Body Text"/>
    <w:basedOn w:val="Normal"/>
    <w:rsid w:val="00B87382"/>
    <w:pPr>
      <w:jc w:val="both"/>
    </w:pPr>
    <w:rPr>
      <w:bCs/>
      <w:sz w:val="20"/>
    </w:rPr>
  </w:style>
  <w:style w:type="paragraph" w:styleId="Lista">
    <w:name w:val="List"/>
    <w:basedOn w:val="Corpodetexto"/>
    <w:rsid w:val="00B87382"/>
    <w:rPr>
      <w:rFonts w:ascii="Liberation Sans" w:hAnsi="Liberation Sans" w:cs="Mangal"/>
    </w:rPr>
  </w:style>
  <w:style w:type="paragraph" w:styleId="Legenda">
    <w:name w:val="caption"/>
    <w:basedOn w:val="Normal"/>
    <w:qFormat/>
    <w:rsid w:val="00B87382"/>
    <w:pPr>
      <w:suppressLineNumbers/>
      <w:spacing w:before="120" w:after="120"/>
    </w:pPr>
    <w:rPr>
      <w:rFonts w:ascii="Liberation Sans" w:hAnsi="Liberation Sans" w:cs="Mangal"/>
      <w:i/>
      <w:iCs/>
      <w:sz w:val="24"/>
      <w:szCs w:val="24"/>
    </w:rPr>
  </w:style>
  <w:style w:type="paragraph" w:customStyle="1" w:styleId="Index">
    <w:name w:val="Index"/>
    <w:basedOn w:val="Normal"/>
    <w:rsid w:val="00B87382"/>
    <w:pPr>
      <w:suppressLineNumbers/>
    </w:pPr>
    <w:rPr>
      <w:rFonts w:ascii="Liberation Sans" w:hAnsi="Liberation Sans" w:cs="Mangal"/>
    </w:rPr>
  </w:style>
  <w:style w:type="paragraph" w:styleId="Rodap">
    <w:name w:val="footer"/>
    <w:basedOn w:val="Normal"/>
    <w:rsid w:val="00B87382"/>
    <w:pPr>
      <w:tabs>
        <w:tab w:val="center" w:pos="4320"/>
        <w:tab w:val="right" w:pos="8640"/>
      </w:tabs>
    </w:pPr>
  </w:style>
  <w:style w:type="paragraph" w:styleId="Cabealho">
    <w:name w:val="header"/>
    <w:basedOn w:val="Normal"/>
    <w:rsid w:val="00B87382"/>
    <w:pPr>
      <w:tabs>
        <w:tab w:val="center" w:pos="4320"/>
        <w:tab w:val="right" w:pos="8640"/>
      </w:tabs>
    </w:pPr>
  </w:style>
  <w:style w:type="paragraph" w:customStyle="1" w:styleId="Corpodetexto21">
    <w:name w:val="Corpo de texto 21"/>
    <w:basedOn w:val="Normal"/>
    <w:rsid w:val="00B87382"/>
    <w:pPr>
      <w:spacing w:line="240" w:lineRule="atLeast"/>
      <w:ind w:right="30"/>
      <w:jc w:val="both"/>
    </w:pPr>
    <w:rPr>
      <w:sz w:val="20"/>
    </w:rPr>
  </w:style>
  <w:style w:type="paragraph" w:customStyle="1" w:styleId="Caption">
    <w:name w:val="Caption"/>
    <w:basedOn w:val="Normal"/>
    <w:next w:val="Normal"/>
    <w:rsid w:val="00B87382"/>
    <w:pPr>
      <w:spacing w:before="120" w:after="120"/>
    </w:pPr>
    <w:rPr>
      <w:b/>
      <w:bCs/>
      <w:sz w:val="20"/>
    </w:rPr>
  </w:style>
  <w:style w:type="paragraph" w:customStyle="1" w:styleId="Textodebalo1">
    <w:name w:val="Texto de balão1"/>
    <w:basedOn w:val="Normal"/>
    <w:rsid w:val="00B87382"/>
    <w:rPr>
      <w:rFonts w:ascii="Tahoma" w:hAnsi="Tahoma" w:cs="Tahoma"/>
      <w:sz w:val="16"/>
      <w:szCs w:val="16"/>
    </w:rPr>
  </w:style>
  <w:style w:type="paragraph" w:customStyle="1" w:styleId="CommentText">
    <w:name w:val="Comment Text"/>
    <w:basedOn w:val="Normal"/>
    <w:rsid w:val="00B87382"/>
    <w:rPr>
      <w:sz w:val="20"/>
    </w:rPr>
  </w:style>
  <w:style w:type="paragraph" w:customStyle="1" w:styleId="CommentSubject">
    <w:name w:val="Comment Subject"/>
    <w:basedOn w:val="CommentText"/>
    <w:next w:val="CommentText"/>
    <w:rsid w:val="00B87382"/>
    <w:rPr>
      <w:b/>
      <w:bCs/>
    </w:rPr>
  </w:style>
  <w:style w:type="paragraph" w:customStyle="1" w:styleId="15TableBody">
    <w:name w:val="15_Table_Body"/>
    <w:rsid w:val="00B87382"/>
    <w:pPr>
      <w:suppressAutoHyphens/>
      <w:spacing w:line="213" w:lineRule="exact"/>
    </w:pPr>
    <w:rPr>
      <w:rFonts w:eastAsia="Arial Unicode MS"/>
      <w:sz w:val="18"/>
      <w:lang w:val="en-GB" w:eastAsia="ja-JP"/>
    </w:rPr>
  </w:style>
  <w:style w:type="paragraph" w:customStyle="1" w:styleId="14TableTitle">
    <w:name w:val="14_Table_Title"/>
    <w:rsid w:val="00B87382"/>
    <w:pPr>
      <w:suppressAutoHyphens/>
      <w:spacing w:after="120" w:line="213" w:lineRule="exact"/>
      <w:jc w:val="both"/>
    </w:pPr>
    <w:rPr>
      <w:rFonts w:eastAsia="Arial Unicode MS"/>
      <w:sz w:val="18"/>
      <w:lang w:val="en-GB" w:eastAsia="ja-JP"/>
    </w:rPr>
  </w:style>
  <w:style w:type="paragraph" w:customStyle="1" w:styleId="Contenudetableau">
    <w:name w:val="Contenu de tableau"/>
    <w:basedOn w:val="Normal"/>
    <w:rsid w:val="00B87382"/>
    <w:pPr>
      <w:suppressLineNumbers/>
    </w:pPr>
  </w:style>
  <w:style w:type="paragraph" w:customStyle="1" w:styleId="Titredetableau">
    <w:name w:val="Titre de tableau"/>
    <w:basedOn w:val="Contenudetableau"/>
    <w:rsid w:val="00B87382"/>
    <w:pPr>
      <w:jc w:val="center"/>
    </w:pPr>
    <w:rPr>
      <w:b/>
      <w:bCs/>
    </w:rPr>
  </w:style>
  <w:style w:type="paragraph" w:styleId="Textodebalo">
    <w:name w:val="Balloon Text"/>
    <w:basedOn w:val="Normal"/>
    <w:link w:val="TextodebaloChar"/>
    <w:uiPriority w:val="99"/>
    <w:semiHidden/>
    <w:unhideWhenUsed/>
    <w:rsid w:val="00F64DC3"/>
    <w:rPr>
      <w:rFonts w:ascii="Tahoma" w:hAnsi="Tahoma" w:cs="Tahoma"/>
      <w:sz w:val="16"/>
      <w:szCs w:val="16"/>
    </w:rPr>
  </w:style>
  <w:style w:type="character" w:customStyle="1" w:styleId="TextodebaloChar">
    <w:name w:val="Texto de balão Char"/>
    <w:basedOn w:val="Fontepargpadro"/>
    <w:link w:val="Textodebalo"/>
    <w:uiPriority w:val="99"/>
    <w:semiHidden/>
    <w:rsid w:val="00F64DC3"/>
    <w:rPr>
      <w:rFonts w:ascii="Tahoma" w:hAnsi="Tahoma" w:cs="Tahoma"/>
      <w:sz w:val="16"/>
      <w:szCs w:val="16"/>
      <w:lang w:val="en-US" w:eastAsia="zh-CN"/>
    </w:rPr>
  </w:style>
  <w:style w:type="paragraph" w:styleId="PargrafodaLista">
    <w:name w:val="List Paragraph"/>
    <w:basedOn w:val="Normal"/>
    <w:uiPriority w:val="34"/>
    <w:qFormat/>
    <w:rsid w:val="00C777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gennari@usp.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632</Words>
  <Characters>3419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template for two-page abstracts in Word 97 (PC)</vt:lpstr>
    </vt:vector>
  </TitlesOfParts>
  <Company>LACIVID - DFN - IFUSP</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two-page abstracts in Word 97 (PC)</dc:title>
  <dc:subject/>
  <dc:creator>LPI</dc:creator>
  <cp:keywords/>
  <cp:lastModifiedBy>Gennari</cp:lastModifiedBy>
  <cp:revision>11</cp:revision>
  <cp:lastPrinted>2007-11-08T17:52:00Z</cp:lastPrinted>
  <dcterms:created xsi:type="dcterms:W3CDTF">2015-05-19T14:02:00Z</dcterms:created>
  <dcterms:modified xsi:type="dcterms:W3CDTF">2015-05-19T18:08:00Z</dcterms:modified>
</cp:coreProperties>
</file>